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97CD8" w14:textId="77777777" w:rsidR="00F67BC3" w:rsidRPr="0078334C" w:rsidRDefault="00F67BC3" w:rsidP="00F67BC3">
      <w:pPr>
        <w:spacing w:line="240" w:lineRule="auto"/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</w:pPr>
      <w:bookmarkStart w:id="0" w:name="_GoBack"/>
      <w:bookmarkEnd w:id="0"/>
      <w:r w:rsidRPr="0078334C">
        <w:rPr>
          <w:rFonts w:ascii="Verdana" w:eastAsia="Times New Roman" w:hAnsi="Verdana" w:cs="Times New Roman"/>
          <w:b/>
          <w:bCs/>
          <w:kern w:val="0"/>
          <w14:ligatures w14:val="none"/>
        </w:rPr>
        <w:t>E</w:t>
      </w:r>
      <w:r w:rsidRPr="0078334C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ΡΕΥΝΑ</w:t>
      </w:r>
    </w:p>
    <w:p w14:paraId="5849643D" w14:textId="6F0C5593" w:rsidR="005A16A1" w:rsidRDefault="003E62AD" w:rsidP="003E62AD">
      <w:pPr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</w:pPr>
      <w:r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Το οικονομικό φορτίο </w:t>
      </w:r>
      <w:r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της Π</w:t>
      </w:r>
      <w:r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αχυσαρκίας σε 4 νοτιοανατολικές</w:t>
      </w:r>
      <w:r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ευρωπαϊκές χώρες που σχετίζεται</w:t>
      </w:r>
      <w:r w:rsidR="000F0A86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με τις </w:t>
      </w:r>
      <w:proofErr w:type="spellStart"/>
      <w:r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συννοσηρότητες</w:t>
      </w:r>
      <w:proofErr w:type="spellEnd"/>
      <w:r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που</w:t>
      </w:r>
      <w:r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συνδέονται με την παχυσαρκία</w:t>
      </w:r>
    </w:p>
    <w:p w14:paraId="2685C752" w14:textId="77777777" w:rsidR="003E62AD" w:rsidRPr="008051C3" w:rsidRDefault="003E62AD" w:rsidP="00F0421B">
      <w:pPr>
        <w:rPr>
          <w:rFonts w:ascii="Verdana" w:eastAsia="Times New Roman" w:hAnsi="Verdana" w:cs="Times New Roman"/>
          <w:i/>
          <w:iCs/>
          <w:kern w:val="0"/>
          <w:lang w:val="el-GR"/>
          <w14:ligatures w14:val="none"/>
        </w:rPr>
      </w:pPr>
      <w:r w:rsidRPr="008051C3">
        <w:rPr>
          <w:rFonts w:ascii="Verdana" w:eastAsia="Times New Roman" w:hAnsi="Verdana" w:cs="Times New Roman"/>
          <w:i/>
          <w:iCs/>
          <w:kern w:val="0"/>
          <w14:ligatures w14:val="none"/>
        </w:rPr>
        <w:t>Athanasakis, K., Bala, C., Kokkinos, A. et al. BMC</w:t>
      </w:r>
      <w:r w:rsidRPr="008051C3">
        <w:rPr>
          <w:rFonts w:ascii="Verdana" w:eastAsia="Times New Roman" w:hAnsi="Verdana" w:cs="Times New Roman"/>
          <w:i/>
          <w:iCs/>
          <w:kern w:val="0"/>
          <w:lang w:val="el-GR"/>
          <w14:ligatures w14:val="none"/>
        </w:rPr>
        <w:t xml:space="preserve"> </w:t>
      </w:r>
      <w:r w:rsidRPr="008051C3">
        <w:rPr>
          <w:rFonts w:ascii="Verdana" w:eastAsia="Times New Roman" w:hAnsi="Verdana" w:cs="Times New Roman"/>
          <w:i/>
          <w:iCs/>
          <w:kern w:val="0"/>
          <w14:ligatures w14:val="none"/>
        </w:rPr>
        <w:t>Health</w:t>
      </w:r>
      <w:r w:rsidRPr="008051C3">
        <w:rPr>
          <w:rFonts w:ascii="Verdana" w:eastAsia="Times New Roman" w:hAnsi="Verdana" w:cs="Times New Roman"/>
          <w:i/>
          <w:iCs/>
          <w:kern w:val="0"/>
          <w:lang w:val="el-GR"/>
          <w14:ligatures w14:val="none"/>
        </w:rPr>
        <w:t xml:space="preserve"> </w:t>
      </w:r>
      <w:r w:rsidRPr="008051C3">
        <w:rPr>
          <w:rFonts w:ascii="Verdana" w:eastAsia="Times New Roman" w:hAnsi="Verdana" w:cs="Times New Roman"/>
          <w:i/>
          <w:iCs/>
          <w:kern w:val="0"/>
          <w14:ligatures w14:val="none"/>
        </w:rPr>
        <w:t>Serv</w:t>
      </w:r>
      <w:r w:rsidRPr="008051C3">
        <w:rPr>
          <w:rFonts w:ascii="Verdana" w:eastAsia="Times New Roman" w:hAnsi="Verdana" w:cs="Times New Roman"/>
          <w:i/>
          <w:iCs/>
          <w:kern w:val="0"/>
          <w:lang w:val="el-GR"/>
          <w14:ligatures w14:val="none"/>
        </w:rPr>
        <w:t xml:space="preserve"> </w:t>
      </w:r>
      <w:r w:rsidRPr="008051C3">
        <w:rPr>
          <w:rFonts w:ascii="Verdana" w:eastAsia="Times New Roman" w:hAnsi="Verdana" w:cs="Times New Roman"/>
          <w:i/>
          <w:iCs/>
          <w:kern w:val="0"/>
          <w14:ligatures w14:val="none"/>
        </w:rPr>
        <w:t>Res</w:t>
      </w:r>
      <w:r w:rsidRPr="008051C3">
        <w:rPr>
          <w:rFonts w:ascii="Verdana" w:eastAsia="Times New Roman" w:hAnsi="Verdana" w:cs="Times New Roman"/>
          <w:i/>
          <w:iCs/>
          <w:kern w:val="0"/>
          <w:lang w:val="el-GR"/>
          <w14:ligatures w14:val="none"/>
        </w:rPr>
        <w:t xml:space="preserve"> 24, 354 (2024)</w:t>
      </w:r>
    </w:p>
    <w:p w14:paraId="65639D44" w14:textId="6458B899" w:rsidR="00D378A3" w:rsidRPr="008051C3" w:rsidRDefault="003E62AD" w:rsidP="00F0421B">
      <w:pPr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Στόχος</w:t>
      </w:r>
      <w:r w:rsidR="008051C3" w:rsidRPr="008051C3">
        <w:rPr>
          <w:rFonts w:ascii="Verdana" w:eastAsia="Times New Roman" w:hAnsi="Verdana" w:cs="Times New Roman"/>
          <w:b/>
          <w:bCs/>
          <w:kern w:val="0"/>
          <w:vertAlign w:val="superscript"/>
          <w14:ligatures w14:val="none"/>
        </w:rPr>
        <w:t>1</w:t>
      </w:r>
      <w:r w:rsidR="009C0309" w:rsidRPr="003E62AD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:</w:t>
      </w:r>
    </w:p>
    <w:p w14:paraId="60E89D8C" w14:textId="4E741624" w:rsidR="00F0421B" w:rsidRPr="005A16A1" w:rsidRDefault="003E62AD" w:rsidP="003E62AD">
      <w:pPr>
        <w:rPr>
          <w:rFonts w:ascii="Verdana" w:eastAsia="Times New Roman" w:hAnsi="Verdana" w:cs="Times New Roman"/>
          <w:kern w:val="0"/>
          <w:lang w:val="el-GR"/>
          <w14:ligatures w14:val="none"/>
        </w:rPr>
      </w:pP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Η έρευνα αποσκοπεί στην εκτίμηση της οικονομικής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επιβάρυνσης που προκαλεί η παχυσαρκία και οι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σχετιζόμενες με αυτή </w:t>
      </w:r>
      <w:proofErr w:type="spellStart"/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συννοσηρότητες</w:t>
      </w:r>
      <w:proofErr w:type="spellEnd"/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(</w:t>
      </w:r>
      <w:r w:rsidRPr="003E62AD">
        <w:rPr>
          <w:rFonts w:ascii="Verdana" w:eastAsia="Times New Roman" w:hAnsi="Verdana" w:cs="Times New Roman"/>
          <w:kern w:val="0"/>
          <w14:ligatures w14:val="none"/>
        </w:rPr>
        <w:t>Obesity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-</w:t>
      </w:r>
      <w:r w:rsidRPr="003E62AD">
        <w:rPr>
          <w:rFonts w:ascii="Verdana" w:eastAsia="Times New Roman" w:hAnsi="Verdana" w:cs="Times New Roman"/>
          <w:kern w:val="0"/>
          <w14:ligatures w14:val="none"/>
        </w:rPr>
        <w:t>Related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kern w:val="0"/>
          <w14:ligatures w14:val="none"/>
        </w:rPr>
        <w:t>Conditions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- </w:t>
      </w:r>
      <w:r w:rsidRPr="003E62AD">
        <w:rPr>
          <w:rFonts w:ascii="Verdana" w:eastAsia="Times New Roman" w:hAnsi="Verdana" w:cs="Times New Roman"/>
          <w:kern w:val="0"/>
          <w14:ligatures w14:val="none"/>
        </w:rPr>
        <w:t>ORCs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) σε τέσσερις χώρες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της Νοτιοανατολικής Ευρώπης: την Τσεχία, την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Ελλάδα, την Ουγγαρία και τη Ρουμανία. Σε αυτές 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τις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χώρες, το ποσοστό παχυσαρκίας έχει ξεπεράσει το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20% και η έρευνα τονίζει την αναγκαιότητα για δράση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και εφαρμογή στρατηγικών πρόληψης από 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τους 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>Ευρωπαίους ηγέτες.</w:t>
      </w:r>
    </w:p>
    <w:p w14:paraId="2E1600A1" w14:textId="77777777" w:rsidR="003E62AD" w:rsidRPr="003E62AD" w:rsidRDefault="003E62AD" w:rsidP="003E62AD">
      <w:pPr>
        <w:pStyle w:val="NormalWeb"/>
        <w:rPr>
          <w:rFonts w:ascii="Verdana" w:eastAsia="NotoSans" w:hAnsi="Verdana"/>
          <w:b/>
          <w:bCs/>
          <w:lang w:val="el-GR"/>
        </w:rPr>
      </w:pPr>
      <w:r w:rsidRPr="003E62AD">
        <w:rPr>
          <w:rFonts w:ascii="Verdana" w:hAnsi="Verdana"/>
          <w:b/>
          <w:bCs/>
          <w:lang w:val="el-GR"/>
        </w:rPr>
        <w:t>Βασικά Πορίσματα</w:t>
      </w:r>
      <w:r w:rsidRPr="008051C3">
        <w:rPr>
          <w:rFonts w:ascii="Verdana" w:eastAsia="NotoSans" w:hAnsi="Verdana"/>
          <w:b/>
          <w:bCs/>
          <w:vertAlign w:val="superscript"/>
          <w:lang w:val="el-GR"/>
        </w:rPr>
        <w:t>1-20</w:t>
      </w:r>
    </w:p>
    <w:p w14:paraId="2BACC7B5" w14:textId="6FEE4094" w:rsidR="003E62AD" w:rsidRPr="003E62AD" w:rsidRDefault="003E62AD" w:rsidP="003E62AD">
      <w:pPr>
        <w:pStyle w:val="NormalWeb"/>
        <w:numPr>
          <w:ilvl w:val="0"/>
          <w:numId w:val="15"/>
        </w:numPr>
        <w:rPr>
          <w:rFonts w:ascii="Verdana" w:hAnsi="Verdana"/>
          <w:b/>
          <w:bCs/>
          <w:sz w:val="22"/>
          <w:szCs w:val="22"/>
          <w:lang w:val="el-GR"/>
        </w:rPr>
      </w:pPr>
      <w:r w:rsidRPr="003E62AD">
        <w:rPr>
          <w:rFonts w:ascii="Verdana" w:eastAsia="NotoSans" w:hAnsi="Verdana"/>
          <w:sz w:val="22"/>
          <w:szCs w:val="22"/>
          <w:lang w:val="el-GR"/>
        </w:rPr>
        <w:t xml:space="preserve">Η παχυσαρκία είναι μια </w:t>
      </w:r>
      <w:r w:rsidRPr="003E62AD">
        <w:rPr>
          <w:rFonts w:ascii="Verdana" w:hAnsi="Verdana"/>
          <w:sz w:val="22"/>
          <w:szCs w:val="22"/>
          <w:lang w:val="el-GR"/>
        </w:rPr>
        <w:t xml:space="preserve">χρόνια, υποτροπιάζουσα νόσος </w:t>
      </w:r>
      <w:r w:rsidRPr="003E62AD">
        <w:rPr>
          <w:rFonts w:ascii="Verdana" w:eastAsia="NotoSans" w:hAnsi="Verdana"/>
          <w:sz w:val="22"/>
          <w:szCs w:val="22"/>
          <w:lang w:val="el-GR"/>
        </w:rPr>
        <w:t xml:space="preserve">που επηρεάζει εκατομμύρια ανθρώπους παγκοσμίως. Οι παγκόσμιες προβλέψεις δείχνουν ότι έως το 2025 το ποσοστό παχυσαρκίας θα φτάσει το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16% στους άνδρες και το 21% στις γυναίκες.</w:t>
      </w:r>
    </w:p>
    <w:p w14:paraId="03D41947" w14:textId="2EE5CA5E" w:rsidR="003E62AD" w:rsidRPr="003E62AD" w:rsidRDefault="003E62AD" w:rsidP="003E62AD">
      <w:pPr>
        <w:pStyle w:val="NormalWeb"/>
        <w:numPr>
          <w:ilvl w:val="0"/>
          <w:numId w:val="15"/>
        </w:numPr>
        <w:rPr>
          <w:rFonts w:ascii="Verdana" w:eastAsia="NotoSans" w:hAnsi="Verdana"/>
          <w:sz w:val="22"/>
          <w:szCs w:val="22"/>
          <w:lang w:val="el-GR"/>
        </w:rPr>
      </w:pPr>
      <w:r w:rsidRPr="003E62AD">
        <w:rPr>
          <w:rFonts w:ascii="Verdana" w:eastAsia="NotoSans" w:hAnsi="Verdana"/>
          <w:sz w:val="22"/>
          <w:szCs w:val="22"/>
          <w:lang w:val="el-GR"/>
        </w:rPr>
        <w:t xml:space="preserve">Περίπου το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 xml:space="preserve">60% των ενηλίκων και το ένα τρίτο των παιδιών </w:t>
      </w:r>
      <w:r w:rsidRPr="003E62AD">
        <w:rPr>
          <w:rFonts w:ascii="Verdana" w:eastAsia="NotoSans" w:hAnsi="Verdana"/>
          <w:sz w:val="22"/>
          <w:szCs w:val="22"/>
          <w:lang w:val="el-GR"/>
        </w:rPr>
        <w:t>στην Ευρώπη βρίσκονται αντιμέτωποι με αυξημένο βάρος ή παχυσαρκία.</w:t>
      </w:r>
    </w:p>
    <w:p w14:paraId="04385066" w14:textId="49A07A39" w:rsidR="003E62AD" w:rsidRPr="003E62AD" w:rsidRDefault="003E62AD" w:rsidP="003E62AD">
      <w:pPr>
        <w:pStyle w:val="NormalWeb"/>
        <w:numPr>
          <w:ilvl w:val="0"/>
          <w:numId w:val="15"/>
        </w:numPr>
        <w:rPr>
          <w:rFonts w:ascii="Verdana" w:hAnsi="Verdana"/>
          <w:b/>
          <w:bCs/>
          <w:sz w:val="22"/>
          <w:szCs w:val="22"/>
          <w:lang w:val="el-GR"/>
        </w:rPr>
      </w:pPr>
      <w:r w:rsidRPr="003E62AD">
        <w:rPr>
          <w:rFonts w:ascii="Verdana" w:eastAsia="NotoSans" w:hAnsi="Verdana"/>
          <w:sz w:val="22"/>
          <w:szCs w:val="22"/>
          <w:lang w:val="el-GR"/>
        </w:rPr>
        <w:t xml:space="preserve">Στην Ελλάδα, η παχυσαρκία συνυπάρχει </w:t>
      </w:r>
      <w:r w:rsidRPr="003E62AD">
        <w:rPr>
          <w:rFonts w:ascii="Verdana" w:eastAsia="NotoSans" w:hAnsi="Verdana"/>
          <w:b/>
          <w:bCs/>
          <w:sz w:val="22"/>
          <w:szCs w:val="22"/>
          <w:lang w:val="el-GR"/>
        </w:rPr>
        <w:t xml:space="preserve">στο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50,8%</w:t>
      </w:r>
      <w:r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των ατόμων με υπέρταση και υψηλή</w:t>
      </w:r>
      <w:r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χοληστερόλη.</w:t>
      </w:r>
    </w:p>
    <w:p w14:paraId="2FD32FF9" w14:textId="4399D144" w:rsidR="003E62AD" w:rsidRPr="003E62AD" w:rsidRDefault="003E62AD" w:rsidP="003E62AD">
      <w:pPr>
        <w:pStyle w:val="NormalWeb"/>
        <w:numPr>
          <w:ilvl w:val="0"/>
          <w:numId w:val="15"/>
        </w:numPr>
        <w:rPr>
          <w:rFonts w:ascii="Verdana" w:eastAsia="NotoSans" w:hAnsi="Verdana"/>
          <w:sz w:val="22"/>
          <w:szCs w:val="22"/>
          <w:lang w:val="el-GR"/>
        </w:rPr>
      </w:pPr>
      <w:r w:rsidRPr="003E62AD">
        <w:rPr>
          <w:rFonts w:ascii="Verdana" w:eastAsia="NotoSans" w:hAnsi="Verdana"/>
          <w:sz w:val="22"/>
          <w:szCs w:val="22"/>
          <w:lang w:val="el-GR"/>
        </w:rPr>
        <w:t>Η παχυσαρκία συνδέεται με</w:t>
      </w:r>
      <w:r w:rsidRPr="003E62AD">
        <w:rPr>
          <w:rFonts w:ascii="Verdana" w:eastAsia="NotoSans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σημαντικά</w:t>
      </w:r>
      <w:r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προβλήματα υγείας</w:t>
      </w:r>
      <w:r w:rsidRPr="003E62AD">
        <w:rPr>
          <w:rFonts w:ascii="Verdana" w:eastAsia="NotoSans" w:hAnsi="Verdana"/>
          <w:b/>
          <w:bCs/>
          <w:sz w:val="22"/>
          <w:szCs w:val="22"/>
          <w:lang w:val="el-GR"/>
        </w:rPr>
        <w:t xml:space="preserve">, </w:t>
      </w:r>
      <w:r w:rsidRPr="003E62AD">
        <w:rPr>
          <w:rFonts w:ascii="Verdana" w:eastAsia="NotoSans" w:hAnsi="Verdana"/>
          <w:sz w:val="22"/>
          <w:szCs w:val="22"/>
          <w:lang w:val="el-GR"/>
        </w:rPr>
        <w:t xml:space="preserve">όπως ο διαβήτης τύπου 2, η υπέρταση και η </w:t>
      </w:r>
      <w:proofErr w:type="spellStart"/>
      <w:r w:rsidRPr="003E62AD">
        <w:rPr>
          <w:rFonts w:ascii="Verdana" w:eastAsia="NotoSans" w:hAnsi="Verdana"/>
          <w:sz w:val="22"/>
          <w:szCs w:val="22"/>
          <w:lang w:val="el-GR"/>
        </w:rPr>
        <w:t>υπερλιπιδαιμία</w:t>
      </w:r>
      <w:proofErr w:type="spellEnd"/>
      <w:r w:rsidRPr="003E62AD">
        <w:rPr>
          <w:rFonts w:ascii="Verdana" w:eastAsia="NotoSans" w:hAnsi="Verdana"/>
          <w:sz w:val="22"/>
          <w:szCs w:val="22"/>
          <w:lang w:val="el-GR"/>
        </w:rPr>
        <w:t>, ενώ αυξάνει και τον κίνδυνο καρδιαγγειακών παθήσεων.</w:t>
      </w:r>
    </w:p>
    <w:p w14:paraId="32944C77" w14:textId="76895A3E" w:rsidR="003E62AD" w:rsidRPr="003E62AD" w:rsidRDefault="003E62AD" w:rsidP="003E62AD">
      <w:pPr>
        <w:pStyle w:val="NormalWeb"/>
        <w:numPr>
          <w:ilvl w:val="0"/>
          <w:numId w:val="15"/>
        </w:numPr>
        <w:rPr>
          <w:rFonts w:ascii="Verdana" w:hAnsi="Verdana"/>
          <w:b/>
          <w:bCs/>
          <w:sz w:val="22"/>
          <w:szCs w:val="22"/>
          <w:lang w:val="el-GR"/>
        </w:rPr>
      </w:pPr>
      <w:r w:rsidRPr="003E62AD">
        <w:rPr>
          <w:rFonts w:ascii="Verdana" w:eastAsia="NotoSans" w:hAnsi="Verdana"/>
          <w:sz w:val="22"/>
          <w:szCs w:val="22"/>
          <w:lang w:val="el-GR"/>
        </w:rPr>
        <w:t>Οι χώρες της Ανατολικής Ευρώπης αντιμετωπίζουν σοβαρές οικονομικές πιέσεις λόγω της παχυσαρκίας, με το κόστος να ανέρχεται στο</w:t>
      </w:r>
      <w:r w:rsidRPr="003E62AD">
        <w:rPr>
          <w:rFonts w:ascii="Verdana" w:eastAsia="NotoSans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2,2% του</w:t>
      </w:r>
      <w:r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παγκόσμιου ΑΕΠ.</w:t>
      </w:r>
    </w:p>
    <w:p w14:paraId="746FE2E6" w14:textId="15EFDE1A" w:rsidR="003E62AD" w:rsidRPr="003E62AD" w:rsidRDefault="003E62AD" w:rsidP="003E62AD">
      <w:pPr>
        <w:pStyle w:val="NormalWeb"/>
        <w:numPr>
          <w:ilvl w:val="0"/>
          <w:numId w:val="15"/>
        </w:numPr>
        <w:rPr>
          <w:rFonts w:ascii="Verdana" w:eastAsia="NotoSans" w:hAnsi="Verdana"/>
          <w:sz w:val="22"/>
          <w:szCs w:val="22"/>
          <w:lang w:val="el-GR"/>
        </w:rPr>
      </w:pPr>
      <w:r w:rsidRPr="003E62AD">
        <w:rPr>
          <w:rFonts w:ascii="Verdana" w:eastAsia="NotoSans" w:hAnsi="Verdana"/>
          <w:sz w:val="22"/>
          <w:szCs w:val="22"/>
          <w:lang w:val="el-GR"/>
        </w:rPr>
        <w:t>Η Ελλάδα καταγράφει το</w:t>
      </w:r>
      <w:r w:rsidRPr="003E62AD">
        <w:rPr>
          <w:rFonts w:ascii="Verdana" w:eastAsia="NotoSans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υψηλότερο κόστος για</w:t>
      </w:r>
      <w:r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  <w:proofErr w:type="spellStart"/>
      <w:r w:rsidRPr="003E62AD">
        <w:rPr>
          <w:rFonts w:ascii="Verdana" w:hAnsi="Verdana"/>
          <w:b/>
          <w:bCs/>
          <w:sz w:val="22"/>
          <w:szCs w:val="22"/>
          <w:lang w:val="el-GR"/>
        </w:rPr>
        <w:t>συννοσηρότητες</w:t>
      </w:r>
      <w:proofErr w:type="spellEnd"/>
      <w:r w:rsidR="003E7089" w:rsidRPr="003E7089">
        <w:rPr>
          <w:rFonts w:ascii="Verdana" w:hAnsi="Verdana"/>
          <w:b/>
          <w:bCs/>
          <w:sz w:val="22"/>
          <w:szCs w:val="22"/>
          <w:lang w:val="el-GR"/>
        </w:rPr>
        <w:t>,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eastAsia="NotoSans" w:hAnsi="Verdana"/>
          <w:sz w:val="22"/>
          <w:szCs w:val="22"/>
          <w:lang w:val="el-GR"/>
        </w:rPr>
        <w:t>όπως η καρδιακή ανεπάρκεια και η χρόνια νεφρική νόσος.</w:t>
      </w:r>
    </w:p>
    <w:p w14:paraId="7652C928" w14:textId="098EA839" w:rsidR="00251FEF" w:rsidRPr="003E62AD" w:rsidRDefault="003E62AD" w:rsidP="003E62AD">
      <w:pPr>
        <w:pStyle w:val="NormalWeb"/>
        <w:numPr>
          <w:ilvl w:val="0"/>
          <w:numId w:val="15"/>
        </w:numPr>
        <w:rPr>
          <w:rFonts w:ascii="Verdana" w:hAnsi="Verdana"/>
          <w:sz w:val="22"/>
          <w:szCs w:val="22"/>
          <w:lang w:val="el-GR"/>
        </w:rPr>
      </w:pPr>
      <w:r w:rsidRPr="003E62AD">
        <w:rPr>
          <w:rFonts w:ascii="Verdana" w:eastAsia="NotoSans" w:hAnsi="Verdana"/>
          <w:sz w:val="22"/>
          <w:szCs w:val="22"/>
          <w:lang w:val="el-GR"/>
        </w:rPr>
        <w:t>Τα δεδομένα καταδεικνύουν την ανάγκη για</w:t>
      </w:r>
      <w:r>
        <w:rPr>
          <w:rFonts w:ascii="Verdana" w:eastAsia="NotoSans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ενίσχυση των πολιτικών πρόληψης και</w:t>
      </w:r>
      <w:r>
        <w:rPr>
          <w:rFonts w:ascii="Verdana" w:hAnsi="Verdana"/>
          <w:b/>
          <w:bCs/>
          <w:sz w:val="22"/>
          <w:szCs w:val="22"/>
          <w:lang w:val="el-GR"/>
        </w:rPr>
        <w:t xml:space="preserve"> </w:t>
      </w:r>
      <w:r w:rsidRPr="003E62AD">
        <w:rPr>
          <w:rFonts w:ascii="Verdana" w:hAnsi="Verdana"/>
          <w:b/>
          <w:bCs/>
          <w:sz w:val="22"/>
          <w:szCs w:val="22"/>
          <w:lang w:val="el-GR"/>
        </w:rPr>
        <w:t>αντιμετώπισης της παχυσαρκίας</w:t>
      </w:r>
      <w:r w:rsidRPr="003E62AD">
        <w:rPr>
          <w:rFonts w:ascii="Verdana" w:eastAsia="NotoSans" w:hAnsi="Verdana"/>
          <w:b/>
          <w:bCs/>
          <w:sz w:val="22"/>
          <w:szCs w:val="22"/>
          <w:lang w:val="el-GR"/>
        </w:rPr>
        <w:t xml:space="preserve">, </w:t>
      </w:r>
      <w:r w:rsidRPr="003E62AD">
        <w:rPr>
          <w:rFonts w:ascii="Verdana" w:eastAsia="NotoSans" w:hAnsi="Verdana"/>
          <w:sz w:val="22"/>
          <w:szCs w:val="22"/>
          <w:lang w:val="el-GR"/>
        </w:rPr>
        <w:t xml:space="preserve">ώστε να μειωθεί η οικονομική επιβάρυνση στα συστήματα υγείας, ιδιαίτερα σε χώρες με υψηλά κόστη όπως η </w:t>
      </w:r>
      <w:r w:rsidRPr="003E62AD">
        <w:rPr>
          <w:rFonts w:ascii="Verdana" w:eastAsiaTheme="minorHAnsi" w:hAnsi="Verdana" w:cstheme="minorBidi"/>
          <w:kern w:val="2"/>
          <w:sz w:val="22"/>
          <w:szCs w:val="22"/>
          <w:lang w:val="el-GR"/>
          <w14:ligatures w14:val="standardContextual"/>
        </w:rPr>
        <w:t>Ελλάδα.</w:t>
      </w:r>
    </w:p>
    <w:p w14:paraId="3AF22577" w14:textId="77777777" w:rsidR="00251FEF" w:rsidRDefault="00251FEF" w:rsidP="00251FEF">
      <w:pPr>
        <w:pStyle w:val="NormalWeb"/>
        <w:rPr>
          <w:rFonts w:ascii="Verdana" w:hAnsi="Verdana"/>
          <w:sz w:val="22"/>
          <w:szCs w:val="22"/>
          <w:lang w:val="el-GR"/>
        </w:rPr>
      </w:pPr>
    </w:p>
    <w:p w14:paraId="2D2EB23C" w14:textId="77777777" w:rsidR="00251FEF" w:rsidRDefault="00251FEF" w:rsidP="00251FEF">
      <w:pPr>
        <w:pStyle w:val="NormalWeb"/>
        <w:rPr>
          <w:rFonts w:ascii="Verdana" w:hAnsi="Verdana"/>
          <w:sz w:val="22"/>
          <w:szCs w:val="22"/>
          <w:lang w:val="el-GR"/>
        </w:rPr>
      </w:pPr>
    </w:p>
    <w:p w14:paraId="4ED62DD0" w14:textId="77777777" w:rsidR="006261AC" w:rsidRPr="00251FEF" w:rsidRDefault="006261AC" w:rsidP="00251FEF">
      <w:pPr>
        <w:pStyle w:val="NormalWeb"/>
        <w:rPr>
          <w:rFonts w:ascii="Verdana" w:hAnsi="Verdana"/>
          <w:sz w:val="22"/>
          <w:szCs w:val="22"/>
          <w:lang w:val="el-GR"/>
        </w:rPr>
      </w:pPr>
    </w:p>
    <w:p w14:paraId="1B547C89" w14:textId="77777777" w:rsidR="003E62AD" w:rsidRDefault="003E62AD" w:rsidP="00F0421B">
      <w:pPr>
        <w:pStyle w:val="NormalWeb"/>
        <w:rPr>
          <w:rFonts w:ascii="Verdana" w:hAnsi="Verdana"/>
          <w:b/>
          <w:bCs/>
          <w:sz w:val="22"/>
          <w:szCs w:val="22"/>
          <w:lang w:val="el-GR"/>
        </w:rPr>
      </w:pPr>
    </w:p>
    <w:p w14:paraId="5B34F269" w14:textId="0A207C7D" w:rsidR="00251FEF" w:rsidRPr="00251FEF" w:rsidRDefault="00251FEF" w:rsidP="00F0421B">
      <w:pPr>
        <w:pStyle w:val="NormalWeb"/>
        <w:rPr>
          <w:rFonts w:ascii="Verdana" w:hAnsi="Verdana"/>
          <w:b/>
          <w:bCs/>
          <w:sz w:val="22"/>
          <w:szCs w:val="22"/>
          <w:lang w:val="el-GR"/>
        </w:rPr>
      </w:pPr>
      <w:r w:rsidRPr="00251FEF">
        <w:rPr>
          <w:rFonts w:ascii="Verdana" w:hAnsi="Verdana"/>
          <w:b/>
          <w:bCs/>
          <w:sz w:val="22"/>
          <w:szCs w:val="22"/>
          <w:lang w:val="el-GR"/>
        </w:rPr>
        <w:lastRenderedPageBreak/>
        <w:t xml:space="preserve">Το ετήσιο κόστος για τις </w:t>
      </w:r>
      <w:proofErr w:type="spellStart"/>
      <w:r w:rsidRPr="00251FEF">
        <w:rPr>
          <w:rFonts w:ascii="Verdana" w:hAnsi="Verdana"/>
          <w:b/>
          <w:bCs/>
          <w:sz w:val="22"/>
          <w:szCs w:val="22"/>
          <w:lang w:val="el-GR"/>
        </w:rPr>
        <w:t>Συννοσηρότητες</w:t>
      </w:r>
      <w:proofErr w:type="spellEnd"/>
      <w:r w:rsidRPr="00251FEF">
        <w:rPr>
          <w:rFonts w:ascii="Verdana" w:hAnsi="Verdana"/>
          <w:b/>
          <w:bCs/>
          <w:sz w:val="22"/>
          <w:szCs w:val="22"/>
          <w:lang w:val="el-GR"/>
        </w:rPr>
        <w:t xml:space="preserve"> της Παχυσαρκίας ανά χώρα</w:t>
      </w:r>
    </w:p>
    <w:tbl>
      <w:tblPr>
        <w:tblpPr w:leftFromText="180" w:rightFromText="180" w:vertAnchor="text" w:horzAnchor="page" w:tblpX="1981" w:tblpY="325"/>
        <w:tblW w:w="9303" w:type="dxa"/>
        <w:tblLook w:val="04A0" w:firstRow="1" w:lastRow="0" w:firstColumn="1" w:lastColumn="0" w:noHBand="0" w:noVBand="1"/>
      </w:tblPr>
      <w:tblGrid>
        <w:gridCol w:w="2422"/>
        <w:gridCol w:w="1465"/>
        <w:gridCol w:w="1424"/>
        <w:gridCol w:w="1551"/>
        <w:gridCol w:w="1585"/>
        <w:gridCol w:w="253"/>
        <w:gridCol w:w="603"/>
      </w:tblGrid>
      <w:tr w:rsidR="00251FEF" w:rsidRPr="008051C3" w14:paraId="6977D4B6" w14:textId="77777777" w:rsidTr="00251FEF">
        <w:trPr>
          <w:trHeight w:val="234"/>
        </w:trPr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5E5FEC" w14:textId="77777777" w:rsidR="00251FEF" w:rsidRPr="0078334C" w:rsidRDefault="00251FEF" w:rsidP="00251FEF">
            <w:pPr>
              <w:rPr>
                <w:rFonts w:ascii="Verdana" w:eastAsia="Times New Roman" w:hAnsi="Verdana" w:cs="Times New Roman"/>
                <w:color w:val="000000"/>
                <w:kern w:val="0"/>
                <w:lang w:val="el-GR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2A1C5" w14:textId="77777777" w:rsidR="00251FEF" w:rsidRPr="0078334C" w:rsidRDefault="00251FEF" w:rsidP="00251FE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el-GR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F5E1" w14:textId="77777777" w:rsidR="00251FEF" w:rsidRPr="0078334C" w:rsidRDefault="00251FEF" w:rsidP="00251FE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el-GR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A77B" w14:textId="77777777" w:rsidR="00251FEF" w:rsidRPr="0078334C" w:rsidRDefault="00251FEF" w:rsidP="00251FE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el-GR"/>
                <w14:ligatures w14:val="none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B0581" w14:textId="77777777" w:rsidR="00251FEF" w:rsidRPr="0078334C" w:rsidRDefault="00251FEF" w:rsidP="00251FE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el-GR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F0E63" w14:textId="77777777" w:rsidR="00251FEF" w:rsidRPr="0078334C" w:rsidRDefault="00251FEF" w:rsidP="00251FEF">
            <w:pPr>
              <w:spacing w:after="0" w:line="240" w:lineRule="auto"/>
              <w:rPr>
                <w:rFonts w:ascii="Verdana" w:eastAsia="Times New Roman" w:hAnsi="Verdana" w:cs="Times New Roman"/>
                <w:kern w:val="0"/>
                <w:lang w:val="el-GR"/>
                <w14:ligatures w14:val="none"/>
              </w:rPr>
            </w:pPr>
          </w:p>
        </w:tc>
      </w:tr>
      <w:tr w:rsidR="00251FEF" w:rsidRPr="00251FEF" w14:paraId="62641819" w14:textId="77777777" w:rsidTr="00251FEF">
        <w:trPr>
          <w:gridAfter w:val="2"/>
          <w:wAfter w:w="856" w:type="dxa"/>
          <w:trHeight w:val="375"/>
        </w:trPr>
        <w:tc>
          <w:tcPr>
            <w:tcW w:w="2422" w:type="dxa"/>
            <w:tcBorders>
              <w:top w:val="single" w:sz="12" w:space="0" w:color="001965"/>
              <w:left w:val="single" w:sz="8" w:space="0" w:color="FFFFFF"/>
              <w:bottom w:val="single" w:sz="12" w:space="0" w:color="001965"/>
              <w:right w:val="nil"/>
            </w:tcBorders>
            <w:shd w:val="clear" w:color="auto" w:fill="auto"/>
            <w:vAlign w:val="center"/>
            <w:hideMark/>
          </w:tcPr>
          <w:p w14:paraId="352847C6" w14:textId="77777777" w:rsidR="00251FEF" w:rsidRPr="00251FEF" w:rsidRDefault="00251FEF" w:rsidP="00251FEF">
            <w:pPr>
              <w:spacing w:after="0" w:line="240" w:lineRule="auto"/>
              <w:ind w:firstLineChars="100" w:firstLine="200"/>
              <w:rPr>
                <w:rFonts w:ascii="Verdana" w:eastAsia="Times New Roman" w:hAnsi="Verdana" w:cs="Arial"/>
                <w:kern w:val="0"/>
                <w:sz w:val="20"/>
                <w:szCs w:val="20"/>
                <w:lang w:val="el-GR"/>
                <w14:ligatures w14:val="none"/>
              </w:rPr>
            </w:pPr>
            <w:r w:rsidRPr="00251FEF">
              <w:rPr>
                <w:rFonts w:ascii="Verdana" w:eastAsia="Times New Roman" w:hAnsi="Verdana" w:cs="Arial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465" w:type="dxa"/>
            <w:tcBorders>
              <w:top w:val="single" w:sz="12" w:space="0" w:color="001965"/>
              <w:left w:val="nil"/>
              <w:bottom w:val="single" w:sz="12" w:space="0" w:color="001965"/>
              <w:right w:val="nil"/>
            </w:tcBorders>
            <w:shd w:val="clear" w:color="000000" w:fill="1F497D"/>
            <w:vAlign w:val="center"/>
            <w:hideMark/>
          </w:tcPr>
          <w:p w14:paraId="655641DB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Τσεχί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1424" w:type="dxa"/>
            <w:tcBorders>
              <w:top w:val="single" w:sz="12" w:space="0" w:color="001965"/>
              <w:left w:val="nil"/>
              <w:bottom w:val="single" w:sz="12" w:space="0" w:color="001965"/>
              <w:right w:val="nil"/>
            </w:tcBorders>
            <w:shd w:val="clear" w:color="000000" w:fill="B2C1DB"/>
            <w:vAlign w:val="center"/>
            <w:hideMark/>
          </w:tcPr>
          <w:p w14:paraId="392960FA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Ελλάδ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1551" w:type="dxa"/>
            <w:tcBorders>
              <w:top w:val="single" w:sz="12" w:space="0" w:color="001965"/>
              <w:left w:val="nil"/>
              <w:bottom w:val="single" w:sz="12" w:space="0" w:color="001965"/>
              <w:right w:val="nil"/>
            </w:tcBorders>
            <w:shd w:val="clear" w:color="000000" w:fill="800000"/>
            <w:vAlign w:val="center"/>
            <w:hideMark/>
          </w:tcPr>
          <w:p w14:paraId="037A1850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Ουγκ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αρία</w:t>
            </w:r>
          </w:p>
        </w:tc>
        <w:tc>
          <w:tcPr>
            <w:tcW w:w="1585" w:type="dxa"/>
            <w:tcBorders>
              <w:top w:val="single" w:sz="12" w:space="0" w:color="001965"/>
              <w:left w:val="nil"/>
              <w:bottom w:val="single" w:sz="12" w:space="0" w:color="001965"/>
              <w:right w:val="single" w:sz="8" w:space="0" w:color="FFFFFF"/>
            </w:tcBorders>
            <w:shd w:val="clear" w:color="000000" w:fill="4F81BD"/>
            <w:vAlign w:val="center"/>
            <w:hideMark/>
          </w:tcPr>
          <w:p w14:paraId="7E035F18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Ρουμ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FFFFFF"/>
                <w:kern w:val="0"/>
                <w:sz w:val="20"/>
                <w:szCs w:val="20"/>
                <w14:ligatures w14:val="none"/>
              </w:rPr>
              <w:t>ανία</w:t>
            </w:r>
          </w:p>
        </w:tc>
      </w:tr>
      <w:tr w:rsidR="00251FEF" w:rsidRPr="00251FEF" w14:paraId="1909A44F" w14:textId="77777777" w:rsidTr="00251FEF">
        <w:trPr>
          <w:gridAfter w:val="2"/>
          <w:wAfter w:w="856" w:type="dxa"/>
          <w:trHeight w:val="347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000000" w:fill="44B3E1"/>
            <w:vAlign w:val="center"/>
            <w:hideMark/>
          </w:tcPr>
          <w:p w14:paraId="34FD6501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Στηθάγχη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78189CBE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24242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424242"/>
                <w:kern w:val="0"/>
                <w:sz w:val="20"/>
                <w:szCs w:val="20"/>
                <w14:ligatures w14:val="none"/>
              </w:rPr>
              <w:t>2,717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000000" w:fill="44B3E1"/>
            <w:vAlign w:val="center"/>
            <w:hideMark/>
          </w:tcPr>
          <w:p w14:paraId="63422CDE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24242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424242"/>
                <w:kern w:val="0"/>
                <w:sz w:val="20"/>
                <w:szCs w:val="20"/>
                <w14:ligatures w14:val="none"/>
              </w:rPr>
              <w:t>9,410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7CC0269F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24242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424242"/>
                <w:kern w:val="0"/>
                <w:sz w:val="20"/>
                <w:szCs w:val="20"/>
                <w14:ligatures w14:val="none"/>
              </w:rPr>
              <w:t>1,666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7296AA21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424242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424242"/>
                <w:kern w:val="0"/>
                <w:sz w:val="20"/>
                <w:szCs w:val="20"/>
                <w14:ligatures w14:val="none"/>
              </w:rPr>
              <w:t>3,597</w:t>
            </w:r>
          </w:p>
        </w:tc>
      </w:tr>
      <w:tr w:rsidR="00251FEF" w:rsidRPr="00251FEF" w14:paraId="04D99332" w14:textId="77777777" w:rsidTr="00251FEF">
        <w:trPr>
          <w:gridAfter w:val="2"/>
          <w:wAfter w:w="856" w:type="dxa"/>
          <w:trHeight w:val="347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21F128F7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Άσθμ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3BBD6366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691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6B9B0776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1,272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357A17AE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1,219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7EB3193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527</w:t>
            </w:r>
          </w:p>
        </w:tc>
      </w:tr>
      <w:tr w:rsidR="00251FEF" w:rsidRPr="00251FEF" w14:paraId="609A748A" w14:textId="77777777" w:rsidTr="00251FEF">
        <w:trPr>
          <w:gridAfter w:val="2"/>
          <w:wAfter w:w="856" w:type="dxa"/>
          <w:trHeight w:val="675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000000" w:fill="44B3E1"/>
            <w:vAlign w:val="center"/>
            <w:hideMark/>
          </w:tcPr>
          <w:p w14:paraId="29F0A0E2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Κολ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πική Μα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ρμ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αριγή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0F58CF07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2,370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000000" w:fill="44B3E1"/>
            <w:vAlign w:val="center"/>
            <w:hideMark/>
          </w:tcPr>
          <w:p w14:paraId="5D0AF99C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6,004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0916CD1C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1,723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4AC7732D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3,258</w:t>
            </w:r>
          </w:p>
        </w:tc>
      </w:tr>
      <w:tr w:rsidR="00251FEF" w:rsidRPr="00251FEF" w14:paraId="42474007" w14:textId="77777777" w:rsidTr="00251FEF">
        <w:trPr>
          <w:gridAfter w:val="2"/>
          <w:wAfter w:w="856" w:type="dxa"/>
          <w:trHeight w:val="675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000000" w:fill="44B3E1"/>
            <w:vAlign w:val="center"/>
            <w:hideMark/>
          </w:tcPr>
          <w:p w14:paraId="2075C141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Χρόνι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α 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Νεφρική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νόσος</w:t>
            </w:r>
            <w:proofErr w:type="spellEnd"/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60839C66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2,438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000000" w:fill="44B3E1"/>
            <w:vAlign w:val="center"/>
            <w:hideMark/>
          </w:tcPr>
          <w:p w14:paraId="3413E154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11,708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79B8190C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3,684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6A5D0C8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1,616</w:t>
            </w:r>
          </w:p>
        </w:tc>
      </w:tr>
      <w:tr w:rsidR="00251FEF" w:rsidRPr="00251FEF" w14:paraId="5B848F99" w14:textId="77777777" w:rsidTr="00251FEF">
        <w:trPr>
          <w:gridAfter w:val="2"/>
          <w:wAfter w:w="856" w:type="dxa"/>
          <w:trHeight w:val="675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000000" w:fill="44B3E1"/>
            <w:vAlign w:val="center"/>
            <w:hideMark/>
          </w:tcPr>
          <w:p w14:paraId="42702F4C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Κα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ρδι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ακή 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Ανε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πάρκεια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64D35FE2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6,144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000000" w:fill="44B3E1"/>
            <w:vAlign w:val="center"/>
            <w:hideMark/>
          </w:tcPr>
          <w:p w14:paraId="1C1242D0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16,258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0399D3A6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2,051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3F592F9E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3,848</w:t>
            </w:r>
          </w:p>
        </w:tc>
      </w:tr>
      <w:tr w:rsidR="00251FEF" w:rsidRPr="00251FEF" w14:paraId="51461245" w14:textId="77777777" w:rsidTr="00251FEF">
        <w:trPr>
          <w:gridAfter w:val="2"/>
          <w:wAfter w:w="856" w:type="dxa"/>
          <w:trHeight w:val="347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0785BA33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Υπ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ερλι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πιδαιμία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3044F34C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1,318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603669FF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2,558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228D4F1A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1,311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22206EC4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859</w:t>
            </w:r>
          </w:p>
        </w:tc>
      </w:tr>
      <w:tr w:rsidR="00251FEF" w:rsidRPr="00251FEF" w14:paraId="377D5502" w14:textId="77777777" w:rsidTr="00251FEF">
        <w:trPr>
          <w:gridAfter w:val="2"/>
          <w:wAfter w:w="856" w:type="dxa"/>
          <w:trHeight w:val="347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0837BC55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Υπ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έρτ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αση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5D40C57F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592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18E570F5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1,946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352B15FC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979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0F73A1D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897</w:t>
            </w:r>
          </w:p>
        </w:tc>
      </w:tr>
      <w:tr w:rsidR="00251FEF" w:rsidRPr="00251FEF" w14:paraId="207B664C" w14:textId="77777777" w:rsidTr="00251FEF">
        <w:trPr>
          <w:gridAfter w:val="2"/>
          <w:wAfter w:w="856" w:type="dxa"/>
          <w:trHeight w:val="347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5E330BD6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Οστεο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αρθρίτιδα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6759EFF9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2,155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00581E7E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2,681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4F9684FD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2,188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C78C71C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449</w:t>
            </w:r>
          </w:p>
        </w:tc>
      </w:tr>
      <w:tr w:rsidR="00251FEF" w:rsidRPr="00251FEF" w14:paraId="3BA9170C" w14:textId="77777777" w:rsidTr="00251FEF">
        <w:trPr>
          <w:gridAfter w:val="2"/>
          <w:wAfter w:w="856" w:type="dxa"/>
          <w:trHeight w:val="347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39104561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Υπ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νική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Άπ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νοι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α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404276ED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2,342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50D93006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1,540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D9D9D9"/>
              <w:right w:val="nil"/>
            </w:tcBorders>
            <w:shd w:val="clear" w:color="auto" w:fill="auto"/>
            <w:vAlign w:val="center"/>
            <w:hideMark/>
          </w:tcPr>
          <w:p w14:paraId="37142C6C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2,032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D9D9D9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1BF907B3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987</w:t>
            </w:r>
          </w:p>
        </w:tc>
      </w:tr>
      <w:tr w:rsidR="00251FEF" w:rsidRPr="00251FEF" w14:paraId="321FED0E" w14:textId="77777777" w:rsidTr="00251FEF">
        <w:trPr>
          <w:gridAfter w:val="2"/>
          <w:wAfter w:w="856" w:type="dxa"/>
          <w:trHeight w:val="347"/>
        </w:trPr>
        <w:tc>
          <w:tcPr>
            <w:tcW w:w="242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44B3E1"/>
            <w:vAlign w:val="center"/>
            <w:hideMark/>
          </w:tcPr>
          <w:p w14:paraId="60E609F7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Δι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αβήτης </w:t>
            </w:r>
            <w:proofErr w:type="spellStart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Τύ</w:t>
            </w:r>
            <w:proofErr w:type="spellEnd"/>
            <w:r w:rsidRPr="00251FEF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που 2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92411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2,105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44B3E1"/>
            <w:vAlign w:val="center"/>
            <w:hideMark/>
          </w:tcPr>
          <w:p w14:paraId="03898A21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2,888</w:t>
            </w: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4C178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2,042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center"/>
            <w:hideMark/>
          </w:tcPr>
          <w:p w14:paraId="55FEFC3F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251FEF"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  <w:t>2,248</w:t>
            </w:r>
          </w:p>
        </w:tc>
      </w:tr>
      <w:tr w:rsidR="00251FEF" w:rsidRPr="00251FEF" w14:paraId="467608E3" w14:textId="77777777" w:rsidTr="00251FEF">
        <w:trPr>
          <w:gridAfter w:val="2"/>
          <w:wAfter w:w="856" w:type="dxa"/>
          <w:trHeight w:val="347"/>
        </w:trPr>
        <w:tc>
          <w:tcPr>
            <w:tcW w:w="2422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000000" w:fill="44B3E1"/>
            <w:vAlign w:val="center"/>
          </w:tcPr>
          <w:p w14:paraId="1F467BFA" w14:textId="77777777" w:rsidR="00251FEF" w:rsidRPr="00251FEF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:lang w:val="el-GR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0ED7B8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000000" w:fill="44B3E1"/>
            <w:vAlign w:val="center"/>
          </w:tcPr>
          <w:p w14:paraId="4A76ACFF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D795EB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auto"/>
            <w:vAlign w:val="center"/>
          </w:tcPr>
          <w:p w14:paraId="7A9F25B2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51FEF" w:rsidRPr="00251FEF" w14:paraId="6680DD6D" w14:textId="77777777" w:rsidTr="003E7089">
        <w:trPr>
          <w:gridAfter w:val="2"/>
          <w:wAfter w:w="856" w:type="dxa"/>
          <w:trHeight w:val="68"/>
        </w:trPr>
        <w:tc>
          <w:tcPr>
            <w:tcW w:w="2422" w:type="dxa"/>
            <w:tcBorders>
              <w:top w:val="nil"/>
              <w:left w:val="single" w:sz="8" w:space="0" w:color="FFFFFF"/>
              <w:bottom w:val="single" w:sz="12" w:space="0" w:color="001965"/>
              <w:right w:val="nil"/>
            </w:tcBorders>
            <w:shd w:val="clear" w:color="000000" w:fill="44B3E1"/>
            <w:vAlign w:val="center"/>
          </w:tcPr>
          <w:p w14:paraId="3F6F9C77" w14:textId="77777777" w:rsidR="00251FEF" w:rsidRPr="003E7089" w:rsidRDefault="00251FEF" w:rsidP="00251FEF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12" w:space="0" w:color="001965"/>
              <w:right w:val="nil"/>
            </w:tcBorders>
            <w:shd w:val="clear" w:color="auto" w:fill="auto"/>
            <w:vAlign w:val="center"/>
          </w:tcPr>
          <w:p w14:paraId="37D24B09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12" w:space="0" w:color="001965"/>
              <w:right w:val="nil"/>
            </w:tcBorders>
            <w:shd w:val="clear" w:color="000000" w:fill="44B3E1"/>
            <w:vAlign w:val="center"/>
          </w:tcPr>
          <w:p w14:paraId="19956EE4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12" w:space="0" w:color="001965"/>
              <w:right w:val="nil"/>
            </w:tcBorders>
            <w:shd w:val="clear" w:color="auto" w:fill="auto"/>
            <w:vAlign w:val="center"/>
          </w:tcPr>
          <w:p w14:paraId="14CBD368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12" w:space="0" w:color="001965"/>
              <w:right w:val="single" w:sz="8" w:space="0" w:color="FFFFFF"/>
            </w:tcBorders>
            <w:shd w:val="clear" w:color="auto" w:fill="auto"/>
            <w:vAlign w:val="center"/>
          </w:tcPr>
          <w:p w14:paraId="6A7A078F" w14:textId="77777777" w:rsidR="00251FEF" w:rsidRPr="00251FEF" w:rsidRDefault="00251FEF" w:rsidP="00251FE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8C50090" w14:textId="77777777" w:rsidR="00251FEF" w:rsidRDefault="00251FEF" w:rsidP="00251FEF">
      <w:pPr>
        <w:pStyle w:val="NormalWeb"/>
        <w:ind w:left="360"/>
        <w:rPr>
          <w:rFonts w:ascii="Verdana" w:hAnsi="Verdana"/>
          <w:sz w:val="22"/>
          <w:szCs w:val="22"/>
          <w:lang w:val="el-GR"/>
        </w:rPr>
      </w:pPr>
    </w:p>
    <w:p w14:paraId="399E94BF" w14:textId="77777777" w:rsidR="00E64CE0" w:rsidRPr="0078334C" w:rsidRDefault="00E64CE0" w:rsidP="00060A4C">
      <w:pPr>
        <w:rPr>
          <w:rFonts w:ascii="Verdana" w:eastAsia="Times New Roman" w:hAnsi="Verdana" w:cs="Times New Roman"/>
          <w:kern w:val="0"/>
          <w:lang w:val="el-GR"/>
          <w14:ligatures w14:val="none"/>
        </w:rPr>
      </w:pPr>
    </w:p>
    <w:p w14:paraId="0F304F42" w14:textId="63A65341" w:rsidR="000A2FA4" w:rsidRPr="0078334C" w:rsidRDefault="000A2FA4" w:rsidP="000A2FA4">
      <w:pPr>
        <w:rPr>
          <w:rFonts w:ascii="Verdana" w:hAnsi="Verdana"/>
          <w:lang w:val="el-GR"/>
        </w:rPr>
      </w:pPr>
    </w:p>
    <w:p w14:paraId="72D9FD1F" w14:textId="1D6CA42F" w:rsidR="001543C5" w:rsidRPr="0078334C" w:rsidRDefault="001543C5" w:rsidP="00D378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</w:pPr>
    </w:p>
    <w:p w14:paraId="57A8FE7D" w14:textId="5489B293" w:rsidR="001543C5" w:rsidRPr="0078334C" w:rsidRDefault="001543C5" w:rsidP="00D378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</w:pPr>
    </w:p>
    <w:p w14:paraId="7CCD9028" w14:textId="77777777" w:rsidR="00251FEF" w:rsidRPr="00251FEF" w:rsidRDefault="00251FEF" w:rsidP="00251FEF">
      <w:pPr>
        <w:spacing w:before="100" w:beforeAutospacing="1" w:after="100" w:afterAutospacing="1" w:line="240" w:lineRule="auto"/>
        <w:ind w:left="1080"/>
        <w:rPr>
          <w:rFonts w:ascii="Verdana" w:eastAsia="Times New Roman" w:hAnsi="Verdana" w:cs="Times New Roman"/>
          <w:kern w:val="0"/>
          <w:lang w:val="el-GR"/>
          <w14:ligatures w14:val="none"/>
        </w:rPr>
      </w:pPr>
    </w:p>
    <w:p w14:paraId="1AC01C9C" w14:textId="7DC82264" w:rsidR="00251FEF" w:rsidRPr="00251FEF" w:rsidRDefault="00251FEF" w:rsidP="003E7089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kern w:val="0"/>
          <w:lang w:val="el-GR"/>
          <w14:ligatures w14:val="none"/>
        </w:rPr>
      </w:pPr>
      <w:r>
        <w:rPr>
          <w:noProof/>
          <w:lang w:val="el-GR" w:eastAsia="el-GR"/>
        </w:rPr>
        <w:drawing>
          <wp:inline distT="0" distB="0" distL="0" distR="0" wp14:anchorId="01DC5749" wp14:editId="21562429">
            <wp:extent cx="5265420" cy="3352800"/>
            <wp:effectExtent l="0" t="0" r="11430" b="0"/>
            <wp:docPr id="193266084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115EB23-0AA5-8ED9-2A93-CE9E2E42CE8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9E2A529" w14:textId="2FC7E2D7" w:rsidR="003E62AD" w:rsidRPr="00D92996" w:rsidRDefault="003E62AD" w:rsidP="003E62A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</w:pP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lastRenderedPageBreak/>
        <w:t xml:space="preserve">Η Ελλάδα καταγράφει </w:t>
      </w:r>
      <w:r w:rsidRPr="00D92996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το υψηλότερο κόστος για πολλές </w:t>
      </w:r>
      <w:proofErr w:type="spellStart"/>
      <w:r w:rsidRPr="00D92996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συννοσηρότητες</w:t>
      </w:r>
      <w:proofErr w:type="spellEnd"/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D92996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που σχετίζονται με την παχυσαρκία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όπως η στηθάγχη (9.410), η χρόνια νεφρική νόσος (11.708) και η καρδιακή ανεπάρκεια (16.258), σε σύγκρισή με τις 3 υπόλοιπες χώρες. Ειδικότερα, </w:t>
      </w:r>
      <w:r w:rsidRPr="00D92996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το κόστος της καρδιακής ανεπάρκειας είναι 2.5 φορές υψηλότερο από τις άλλες χώρες.</w:t>
      </w:r>
    </w:p>
    <w:p w14:paraId="2D7A4186" w14:textId="1B023D1E" w:rsidR="00F67BC3" w:rsidRPr="003E62AD" w:rsidRDefault="003E62AD" w:rsidP="003E62AD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l-GR"/>
          <w14:ligatures w14:val="none"/>
        </w:rPr>
      </w:pP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Το υψηλό κόστος στην Ελλάδα φαίνεται να συνδέεται με τις </w:t>
      </w:r>
      <w:r w:rsidRPr="00D92996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υψηλότερες τιμές μονάδας για ιατρικές υπηρεσίες τριτοβάθμιας φροντίδας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(π.χ. νοσηλεία και εξειδικευμένες θεραπείες) και τη </w:t>
      </w:r>
      <w:r w:rsidRPr="00D92996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χρήση ακριβών θεραπειών,</w:t>
      </w:r>
      <w:r w:rsidRPr="003E62AD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ειδικά για τις σοβαρές ασθένειες όπως η καρδιακή ανεπάρκεια και η χρόνια νεφρική νόσος.</w:t>
      </w:r>
    </w:p>
    <w:p w14:paraId="6F4BB0F3" w14:textId="77777777" w:rsidR="00D92996" w:rsidRDefault="00D92996" w:rsidP="00F0421B">
      <w:pPr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0A7E167D" w14:textId="1DD77FB9" w:rsidR="0053198D" w:rsidRPr="00F0421B" w:rsidRDefault="00D378A3" w:rsidP="00F0421B">
      <w:pPr>
        <w:rPr>
          <w:rFonts w:ascii="Verdana" w:hAnsi="Verdana"/>
          <w:lang w:val="el-GR"/>
        </w:rPr>
      </w:pPr>
      <w:r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Συνολικ</w:t>
      </w:r>
      <w:r w:rsidR="00444B1C"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ές</w:t>
      </w:r>
      <w:r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Ετήσι</w:t>
      </w:r>
      <w:r w:rsidR="00444B1C"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ες</w:t>
      </w:r>
      <w:r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</w:t>
      </w:r>
      <w:r w:rsidR="00444B1C"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Δαπάνες</w:t>
      </w:r>
      <w:r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</w:t>
      </w:r>
      <w:bookmarkStart w:id="1" w:name="_Hlk181361662"/>
      <w:r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για </w:t>
      </w:r>
      <w:proofErr w:type="spellStart"/>
      <w:r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Συννοσηρότητες</w:t>
      </w:r>
      <w:proofErr w:type="spellEnd"/>
      <w:r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της Παχυσαρκίας</w:t>
      </w:r>
      <w:bookmarkEnd w:id="1"/>
      <w:r w:rsidR="002A628E"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 xml:space="preserve"> </w:t>
      </w:r>
    </w:p>
    <w:p w14:paraId="06C67F2C" w14:textId="77777777" w:rsidR="00251FEF" w:rsidRPr="0053198D" w:rsidRDefault="00251FEF" w:rsidP="00251FEF">
      <w:pPr>
        <w:pStyle w:val="ListParagraph"/>
        <w:rPr>
          <w:rFonts w:ascii="Verdana" w:hAnsi="Verdana"/>
          <w:lang w:val="el-GR"/>
        </w:rPr>
      </w:pPr>
    </w:p>
    <w:p w14:paraId="3576030A" w14:textId="49338976" w:rsidR="00CC1D10" w:rsidRPr="0078334C" w:rsidRDefault="00251FEF" w:rsidP="00251FEF">
      <w:pPr>
        <w:pStyle w:val="ListParagraph"/>
        <w:jc w:val="center"/>
        <w:rPr>
          <w:rFonts w:ascii="Verdana" w:hAnsi="Verdana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592D5CD7" wp14:editId="5E3FFB4C">
            <wp:extent cx="4472940" cy="3048000"/>
            <wp:effectExtent l="0" t="0" r="3810" b="0"/>
            <wp:docPr id="1894067645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46C23703-F38D-256D-3D61-9D44A1824A0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94BC55F" w14:textId="77777777" w:rsidR="00CC1D10" w:rsidRPr="00BD3CAB" w:rsidRDefault="00CC1D10" w:rsidP="00CC1D10">
      <w:pPr>
        <w:rPr>
          <w:rFonts w:ascii="Verdana" w:hAnsi="Verdana"/>
        </w:rPr>
      </w:pPr>
    </w:p>
    <w:p w14:paraId="300385D5" w14:textId="77777777" w:rsidR="00E70FA6" w:rsidRPr="0078334C" w:rsidRDefault="00E70FA6" w:rsidP="007E7680">
      <w:pPr>
        <w:pStyle w:val="ListParagraph"/>
        <w:rPr>
          <w:rFonts w:ascii="Verdana" w:hAnsi="Verdana"/>
          <w:lang w:val="el-GR"/>
        </w:rPr>
      </w:pPr>
    </w:p>
    <w:p w14:paraId="5939089C" w14:textId="3EA84EB8" w:rsidR="003E62AD" w:rsidRPr="00BD3CAB" w:rsidRDefault="003E62AD" w:rsidP="00BD3CAB">
      <w:pPr>
        <w:pStyle w:val="ListParagraph"/>
        <w:numPr>
          <w:ilvl w:val="0"/>
          <w:numId w:val="18"/>
        </w:numPr>
        <w:jc w:val="both"/>
        <w:rPr>
          <w:rFonts w:ascii="Verdana" w:hAnsi="Verdana"/>
          <w:lang w:val="el-GR"/>
        </w:rPr>
      </w:pPr>
      <w:r w:rsidRPr="00BD3CAB">
        <w:rPr>
          <w:rFonts w:ascii="Verdana" w:hAnsi="Verdana"/>
          <w:lang w:val="el-GR"/>
        </w:rPr>
        <w:t xml:space="preserve">Οι ετήσιες συνολικές δαπάνες είναι </w:t>
      </w:r>
      <w:r w:rsidRPr="00BD3CAB">
        <w:rPr>
          <w:rFonts w:ascii="Verdana" w:hAnsi="Verdana"/>
          <w:b/>
          <w:bCs/>
          <w:lang w:val="el-GR"/>
        </w:rPr>
        <w:t xml:space="preserve">υψηλότερες για σοβαρές ασθένειες όπως η καρδιακή ανεπάρκεια </w:t>
      </w:r>
      <w:r w:rsidRPr="00BD3CAB">
        <w:rPr>
          <w:rFonts w:ascii="Verdana" w:hAnsi="Verdana"/>
          <w:lang w:val="el-GR"/>
        </w:rPr>
        <w:t xml:space="preserve">(28.301 USD) και η </w:t>
      </w:r>
      <w:r w:rsidRPr="00BD3CAB">
        <w:rPr>
          <w:rFonts w:ascii="Verdana" w:hAnsi="Verdana"/>
          <w:b/>
          <w:bCs/>
          <w:lang w:val="el-GR"/>
        </w:rPr>
        <w:t>χρόνια νεφρική νόσος</w:t>
      </w:r>
      <w:r w:rsidRPr="00BD3CAB">
        <w:rPr>
          <w:rFonts w:ascii="Verdana" w:hAnsi="Verdana"/>
          <w:lang w:val="el-GR"/>
        </w:rPr>
        <w:t xml:space="preserve"> (19.446 USD), ενώ οι δαπάνες για λιγότερο σοβαρές παθήσεις, όπως το άσθμα (3.709 USD) και η υπέρταση (4.414 USD), είναι σημαντικά χαμηλότερες.</w:t>
      </w:r>
    </w:p>
    <w:p w14:paraId="33941038" w14:textId="77777777" w:rsidR="003E62AD" w:rsidRPr="003E62AD" w:rsidRDefault="003E62AD" w:rsidP="00BD3CAB">
      <w:pPr>
        <w:pStyle w:val="ListParagraph"/>
        <w:jc w:val="both"/>
        <w:rPr>
          <w:rFonts w:ascii="Verdana" w:hAnsi="Verdana"/>
          <w:lang w:val="el-GR"/>
        </w:rPr>
      </w:pPr>
    </w:p>
    <w:p w14:paraId="2E3F1829" w14:textId="1D278890" w:rsidR="00E70FA6" w:rsidRPr="00BD3CAB" w:rsidRDefault="003E62AD" w:rsidP="00BD3CAB">
      <w:pPr>
        <w:pStyle w:val="ListParagraph"/>
        <w:numPr>
          <w:ilvl w:val="0"/>
          <w:numId w:val="18"/>
        </w:numPr>
        <w:jc w:val="both"/>
        <w:rPr>
          <w:rFonts w:ascii="Verdana" w:hAnsi="Verdana"/>
          <w:lang w:val="el-GR"/>
        </w:rPr>
      </w:pPr>
      <w:r w:rsidRPr="00BD3CAB">
        <w:rPr>
          <w:rFonts w:ascii="Verdana" w:hAnsi="Verdana"/>
          <w:lang w:val="el-GR"/>
        </w:rPr>
        <w:t xml:space="preserve">Οι διαφορές στο κόστος για την καρδιακή ανεπάρκεια και τη θεραπεία της σχετίζονται με τις </w:t>
      </w:r>
      <w:r w:rsidRPr="006C74F8">
        <w:rPr>
          <w:rFonts w:ascii="Verdana" w:hAnsi="Verdana"/>
          <w:b/>
          <w:bCs/>
          <w:lang w:val="el-GR"/>
        </w:rPr>
        <w:t xml:space="preserve">συνήθειες </w:t>
      </w:r>
      <w:proofErr w:type="spellStart"/>
      <w:r w:rsidRPr="006C74F8">
        <w:rPr>
          <w:rFonts w:ascii="Verdana" w:hAnsi="Verdana"/>
          <w:b/>
          <w:bCs/>
          <w:lang w:val="el-GR"/>
        </w:rPr>
        <w:t>συνταγογράφησης</w:t>
      </w:r>
      <w:proofErr w:type="spellEnd"/>
      <w:r w:rsidRPr="00BD3CAB">
        <w:rPr>
          <w:rFonts w:ascii="Verdana" w:hAnsi="Verdana"/>
          <w:lang w:val="el-GR"/>
        </w:rPr>
        <w:t xml:space="preserve"> και τις </w:t>
      </w:r>
      <w:r w:rsidRPr="006C74F8">
        <w:rPr>
          <w:rFonts w:ascii="Verdana" w:hAnsi="Verdana"/>
          <w:b/>
          <w:bCs/>
          <w:lang w:val="el-GR"/>
        </w:rPr>
        <w:t>τιμές φαρμάκων</w:t>
      </w:r>
      <w:r w:rsidRPr="00BD3CAB">
        <w:rPr>
          <w:rFonts w:ascii="Verdana" w:hAnsi="Verdana"/>
          <w:lang w:val="el-GR"/>
        </w:rPr>
        <w:t>, με την Ελλάδα να παρουσιάζει υψηλότερες δαπάνες λόγω χρήσης ακριβών φαρμάκων</w:t>
      </w:r>
      <w:r w:rsidR="00BD3CAB" w:rsidRPr="00BD3CAB">
        <w:rPr>
          <w:rFonts w:ascii="Verdana" w:hAnsi="Verdana"/>
          <w:lang w:val="el-GR"/>
        </w:rPr>
        <w:t xml:space="preserve"> </w:t>
      </w:r>
      <w:r w:rsidRPr="00BD3CAB">
        <w:rPr>
          <w:rFonts w:ascii="Verdana" w:hAnsi="Verdana"/>
          <w:lang w:val="el-GR"/>
        </w:rPr>
        <w:t>μάρκας.</w:t>
      </w:r>
    </w:p>
    <w:p w14:paraId="4B15CF42" w14:textId="77777777" w:rsidR="00087579" w:rsidRPr="0078334C" w:rsidRDefault="00087579" w:rsidP="00087579">
      <w:pPr>
        <w:pStyle w:val="ListParagraph"/>
        <w:rPr>
          <w:rFonts w:ascii="Verdana" w:hAnsi="Verdana"/>
          <w:lang w:val="el-GR"/>
        </w:rPr>
      </w:pPr>
    </w:p>
    <w:p w14:paraId="6C962C64" w14:textId="60CE5867" w:rsidR="00D378A3" w:rsidRPr="00F0421B" w:rsidRDefault="00D378A3" w:rsidP="00F0421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14:ligatures w14:val="none"/>
        </w:rPr>
      </w:pPr>
      <w:r w:rsidRPr="00F0421B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lastRenderedPageBreak/>
        <w:t>Συμπεράσματα της Έρευνας</w:t>
      </w:r>
    </w:p>
    <w:p w14:paraId="19936613" w14:textId="1D50DFA1" w:rsidR="0001071E" w:rsidRPr="0001071E" w:rsidRDefault="0001071E" w:rsidP="0001071E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l-GR"/>
          <w14:ligatures w14:val="none"/>
        </w:rPr>
      </w:pPr>
      <w:r w:rsidRPr="0001071E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Η έρευνα καταδεικνύει την </w:t>
      </w:r>
      <w:r w:rsidRPr="0001071E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ανάγκη για πολιτικές πρόληψης και διαχείρισης της παχυσαρκίας,</w:t>
      </w:r>
      <w:r w:rsidRPr="0001071E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ώστε να περιοριστούν οι οικονομικές επιπτώσεις στο</w:t>
      </w:r>
      <w:r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</w:t>
      </w:r>
      <w:r w:rsidRPr="0001071E">
        <w:rPr>
          <w:rFonts w:ascii="Verdana" w:eastAsia="Times New Roman" w:hAnsi="Verdana" w:cs="Times New Roman"/>
          <w:kern w:val="0"/>
          <w:lang w:val="el-GR"/>
          <w14:ligatures w14:val="none"/>
        </w:rPr>
        <w:t>δημόσιο σύστημα υγείας.</w:t>
      </w:r>
    </w:p>
    <w:p w14:paraId="4F328EEB" w14:textId="0B141C3A" w:rsidR="00F16A0F" w:rsidRDefault="0001071E" w:rsidP="00FA310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l-GR"/>
          <w14:ligatures w14:val="none"/>
        </w:rPr>
      </w:pPr>
      <w:r w:rsidRPr="0001071E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Η </w:t>
      </w:r>
      <w:r w:rsidRPr="0001071E">
        <w:rPr>
          <w:rFonts w:ascii="Verdana" w:eastAsia="Times New Roman" w:hAnsi="Verdana" w:cs="Times New Roman"/>
          <w:b/>
          <w:bCs/>
          <w:kern w:val="0"/>
          <w:lang w:val="el-GR"/>
          <w14:ligatures w14:val="none"/>
        </w:rPr>
        <w:t>μετάβαση σε προληπτικά μοντέλα φροντίδας</w:t>
      </w:r>
      <w:r w:rsidRPr="0001071E">
        <w:rPr>
          <w:rFonts w:ascii="Verdana" w:eastAsia="Times New Roman" w:hAnsi="Verdana" w:cs="Times New Roman"/>
          <w:kern w:val="0"/>
          <w:lang w:val="el-GR"/>
          <w14:ligatures w14:val="none"/>
        </w:rPr>
        <w:t xml:space="preserve"> μπορεί να μειώσει την οικονομική επιβάρυνση στα δημόσια συστήματα υγείας. Σήμερα, λιγότερο από το 3% των δαπανών για την υγεία στις χώρες του OECD κατανέμεται σε δραστηριότητες πρόληψης δημόσιας υγείας.</w:t>
      </w:r>
    </w:p>
    <w:p w14:paraId="7FF1CBAC" w14:textId="77777777" w:rsidR="0001071E" w:rsidRPr="0001071E" w:rsidRDefault="0001071E" w:rsidP="000107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lang w:val="el-GR"/>
          <w14:ligatures w14:val="none"/>
        </w:rPr>
      </w:pPr>
    </w:p>
    <w:p w14:paraId="08967873" w14:textId="18189F7C" w:rsidR="0001071E" w:rsidRPr="008051C3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Το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παρόν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αποτελεί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σύντομη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περίληψη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της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δημοσιευμένης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μελέτης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με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τίτλο</w:t>
      </w:r>
      <w:r w:rsidRPr="0001071E">
        <w:rPr>
          <w:rFonts w:ascii="Verdana" w:hAnsi="Verdana" w:cs="NotoSans-SemiBold"/>
          <w:kern w:val="0"/>
          <w:sz w:val="16"/>
          <w:szCs w:val="16"/>
        </w:rPr>
        <w:t>: "The economic burden of obesity in 4 south-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easternEuropean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countries associated with obesity-related comorbidities"</w:t>
      </w:r>
    </w:p>
    <w:p w14:paraId="20E554EE" w14:textId="77777777" w:rsidR="0001071E" w:rsidRPr="008051C3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</w:p>
    <w:p w14:paraId="23F133E3" w14:textId="512EBFA1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Kostas Athanasakis, Cornelia Bala, Alexander Kokkinos, Gabor Simonyi,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Klaudia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Hálová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Karoliová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Amaury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Basse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, Miodrag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Bogdanovic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Malvin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Kang,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Kaywei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Low &amp; Adrien Gras, BMC Health Services</w:t>
      </w:r>
    </w:p>
    <w:p w14:paraId="44807C85" w14:textId="097A735C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  <w:lang w:val="el-GR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Research volume 24, Published: 19 March 2024, Article number: 354 (2024) και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δι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ανέμεται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με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την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άδει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α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των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συγγρ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αφέων. 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 xml:space="preserve">Η μελέτη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είναιδημόσια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 xml:space="preserve">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προσβάσιμη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 xml:space="preserve"> στον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ιστότοπο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 xml:space="preserve">: </w:t>
      </w:r>
      <w:r w:rsidRPr="0001071E">
        <w:rPr>
          <w:rFonts w:ascii="Verdana" w:hAnsi="Verdana" w:cs="NotoSans-SemiBold"/>
          <w:kern w:val="0"/>
          <w:sz w:val="16"/>
          <w:szCs w:val="16"/>
        </w:rPr>
        <w:t>https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://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bmchealthservres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.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biomedcentral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.</w:t>
      </w:r>
      <w:r w:rsidRPr="0001071E">
        <w:rPr>
          <w:rFonts w:ascii="Verdana" w:hAnsi="Verdana" w:cs="NotoSans-SemiBold"/>
          <w:kern w:val="0"/>
          <w:sz w:val="16"/>
          <w:szCs w:val="16"/>
        </w:rPr>
        <w:t>com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/</w:t>
      </w:r>
      <w:r w:rsidRPr="0001071E">
        <w:rPr>
          <w:rFonts w:ascii="Verdana" w:hAnsi="Verdana" w:cs="NotoSans-SemiBold"/>
          <w:kern w:val="0"/>
          <w:sz w:val="16"/>
          <w:szCs w:val="16"/>
        </w:rPr>
        <w:t>articles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/10.1186/</w:t>
      </w:r>
      <w:r w:rsidRPr="0001071E">
        <w:rPr>
          <w:rFonts w:ascii="Verdana" w:hAnsi="Verdana" w:cs="NotoSans-SemiBold"/>
          <w:kern w:val="0"/>
          <w:sz w:val="16"/>
          <w:szCs w:val="16"/>
        </w:rPr>
        <w:t>s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>12913-024-10840-4 (</w:t>
      </w:r>
      <w:r w:rsidRPr="0001071E">
        <w:rPr>
          <w:rFonts w:ascii="Verdana" w:hAnsi="Verdana" w:cs="NotoSans-SemiBold"/>
          <w:kern w:val="0"/>
          <w:sz w:val="16"/>
          <w:szCs w:val="16"/>
        </w:rPr>
        <w:t>last</w:t>
      </w:r>
      <w:r w:rsidRPr="0001071E">
        <w:rPr>
          <w:rFonts w:ascii="Verdana" w:hAnsi="Verdana" w:cs="NotoSans-SemiBold"/>
          <w:kern w:val="0"/>
          <w:sz w:val="16"/>
          <w:szCs w:val="16"/>
          <w:lang w:val="el-GR"/>
        </w:rPr>
        <w:t xml:space="preserve"> </w:t>
      </w:r>
      <w:r w:rsidRPr="0001071E">
        <w:rPr>
          <w:rFonts w:ascii="Verdana" w:hAnsi="Verdana" w:cs="NotoSans-SemiBold"/>
          <w:kern w:val="0"/>
          <w:sz w:val="16"/>
          <w:szCs w:val="16"/>
        </w:rPr>
        <w:t>accessed</w:t>
      </w:r>
    </w:p>
    <w:p w14:paraId="7A3E935D" w14:textId="1035E64B" w:rsidR="0001071E" w:rsidRPr="008051C3" w:rsidRDefault="0001071E" w:rsidP="0001071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November 2024)</w:t>
      </w:r>
    </w:p>
    <w:p w14:paraId="0B084A76" w14:textId="77777777" w:rsidR="0001071E" w:rsidRPr="008051C3" w:rsidRDefault="0001071E" w:rsidP="0001071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</w:p>
    <w:p w14:paraId="32CC791A" w14:textId="77777777" w:rsidR="0001071E" w:rsidRPr="008051C3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</w:p>
    <w:p w14:paraId="1A2C28AD" w14:textId="77777777" w:rsidR="0001071E" w:rsidRPr="008051C3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</w:p>
    <w:p w14:paraId="5A242E5A" w14:textId="00B9955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1. Athanasakis, K., Bala, C., Kokkinos, A. et al. BMC Health Serv Res 24, 354 (2024)</w:t>
      </w:r>
    </w:p>
    <w:p w14:paraId="391329E8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2. World Obesity Atlas. 2023; World Obesity Federation: March 2023,</w:t>
      </w:r>
    </w:p>
    <w:p w14:paraId="2F3B82BF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https://www.worldobesity.org/resources/resource-library/world-obesity-atlas-2023. Last assessed Nov 2024</w:t>
      </w:r>
    </w:p>
    <w:p w14:paraId="1913AE95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3. Missing the targets report; World Obesity Foundation: 2020,</w:t>
      </w:r>
    </w:p>
    <w:p w14:paraId="231D51C3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https://www.worldobesity.org/resources/resource-library/world-obesity-day-missing-the-targets-report. Last assessed Nov 2024</w:t>
      </w:r>
    </w:p>
    <w:p w14:paraId="36D67231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4. Malnick SDH, Knobler H. QJM: Int J Med. 2006;99(9):565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79</w:t>
      </w:r>
    </w:p>
    <w:p w14:paraId="5BE79F29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5. Visscher TL, Seidell JC. Public Health Impact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Obes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>. 2001;22(1):355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75</w:t>
      </w:r>
    </w:p>
    <w:p w14:paraId="5FD1CE2C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6. Gallus, S., Lugo, A.,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Murisic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, B. et al.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Eur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J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Nutr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>. 2015;54(5):679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89</w:t>
      </w:r>
    </w:p>
    <w:p w14:paraId="0EDF4581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7. Marques A. et al.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Eur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J Pub Health. 2018;28(2):295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300</w:t>
      </w:r>
    </w:p>
    <w:p w14:paraId="267A1F56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8.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Stival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C., et al.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Obes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Facts. 2022;15(5):655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65</w:t>
      </w:r>
    </w:p>
    <w:p w14:paraId="3610E5EF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9. WHO. European Regional Obesity Report 2022, https://www.who.int/europe/publications/i/item/9789289057738. Last assessed Nov 2024</w:t>
      </w:r>
    </w:p>
    <w:p w14:paraId="4151C470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10. Ponce-Garcia I,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Simarro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-Rueda M,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Carbayo-Herencia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JA, et al.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PLoS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ONE. 2015</w:t>
      </w:r>
      <w:proofErr w:type="gramStart"/>
      <w:r w:rsidRPr="0001071E">
        <w:rPr>
          <w:rFonts w:ascii="Verdana" w:hAnsi="Verdana" w:cs="NotoSans-SemiBold"/>
          <w:kern w:val="0"/>
          <w:sz w:val="16"/>
          <w:szCs w:val="16"/>
        </w:rPr>
        <w:t>;10</w:t>
      </w:r>
      <w:proofErr w:type="gramEnd"/>
      <w:r w:rsidRPr="0001071E">
        <w:rPr>
          <w:rFonts w:ascii="Verdana" w:hAnsi="Verdana" w:cs="NotoSans-SemiBold"/>
          <w:kern w:val="0"/>
          <w:sz w:val="16"/>
          <w:szCs w:val="16"/>
        </w:rPr>
        <w:t>(5):e0127369</w:t>
      </w:r>
    </w:p>
    <w:p w14:paraId="78E9C284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11.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Touloumi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, G., Karakosta, A.,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Kalpourtzi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>, N. et al. BMC Public Health. 2020;20(1):1665</w:t>
      </w:r>
    </w:p>
    <w:p w14:paraId="3AD84D3F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12. Vlad T,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Berbecar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GI,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Mircescu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G. J Comm Med and Pub Health Rep 2021;2(7)</w:t>
      </w:r>
    </w:p>
    <w:p w14:paraId="17183724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13. Lu W,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Pikhart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H,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Tamosiunas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A, et al. BMC Public Health. 2022;22(1):883</w:t>
      </w:r>
    </w:p>
    <w:p w14:paraId="17081DF9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14. Report Card Hungary. https://data.worldobesity.org/country/hungary-93/. Last accessed Nov 2024</w:t>
      </w:r>
    </w:p>
    <w:p w14:paraId="2D728E48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15. Iski G, Rurik I. Orv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Hetil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>. 2014;155(35):1406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12.</w:t>
      </w:r>
    </w:p>
    <w:p w14:paraId="1EC93C2C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16.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Klarenbach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S, Padwal R, Chuck A, Jacobs P. Population-Based Anal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Obes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Workforce Participation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Obes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>. 2006;14(5):920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7</w:t>
      </w:r>
    </w:p>
    <w:p w14:paraId="2916198F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17. Knai C, Suhrcke M, Lobstein T. Econ Hum Biology. 2007;5(3):392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408</w:t>
      </w:r>
    </w:p>
    <w:p w14:paraId="4FDF57EB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 xml:space="preserve">18.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Landovsk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á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, P.,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Karbanov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á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, M.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Eur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J Health Econ 24, 1321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–</w:t>
      </w:r>
      <w:r w:rsidRPr="0001071E">
        <w:rPr>
          <w:rFonts w:ascii="Verdana" w:hAnsi="Verdana" w:cs="NotoSans-SemiBold"/>
          <w:kern w:val="0"/>
          <w:sz w:val="16"/>
          <w:szCs w:val="16"/>
        </w:rPr>
        <w:t>1341 (2023)</w:t>
      </w:r>
    </w:p>
    <w:p w14:paraId="463CAB76" w14:textId="77777777" w:rsidR="0001071E" w:rsidRPr="0001071E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19. M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ü</w:t>
      </w:r>
      <w:r w:rsidRPr="0001071E">
        <w:rPr>
          <w:rFonts w:ascii="Verdana" w:hAnsi="Verdana" w:cs="NotoSans-SemiBold"/>
          <w:kern w:val="0"/>
          <w:sz w:val="16"/>
          <w:szCs w:val="16"/>
        </w:rPr>
        <w:t xml:space="preserve">ller-Riemenschneider F, Reinhold T,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Bergh</w:t>
      </w:r>
      <w:r w:rsidRPr="0001071E">
        <w:rPr>
          <w:rFonts w:ascii="Verdana" w:hAnsi="Verdana" w:cs="NotoSans-SemiBold" w:hint="eastAsia"/>
          <w:kern w:val="0"/>
          <w:sz w:val="16"/>
          <w:szCs w:val="16"/>
        </w:rPr>
        <w:t>ö</w:t>
      </w:r>
      <w:r w:rsidRPr="0001071E">
        <w:rPr>
          <w:rFonts w:ascii="Verdana" w:hAnsi="Verdana" w:cs="NotoSans-SemiBold"/>
          <w:kern w:val="0"/>
          <w:sz w:val="16"/>
          <w:szCs w:val="16"/>
        </w:rPr>
        <w:t>fer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A,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Willich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SN.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Eur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J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Epidemiol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>. 2008;23(8):499</w:t>
      </w:r>
    </w:p>
    <w:p w14:paraId="322BC8CA" w14:textId="1AD7C20F" w:rsidR="0001071E" w:rsidRPr="00E072E9" w:rsidRDefault="0001071E" w:rsidP="0001071E">
      <w:pPr>
        <w:autoSpaceDE w:val="0"/>
        <w:autoSpaceDN w:val="0"/>
        <w:adjustRightInd w:val="0"/>
        <w:spacing w:after="0" w:line="240" w:lineRule="auto"/>
        <w:rPr>
          <w:rFonts w:ascii="Verdana" w:hAnsi="Verdana" w:cs="NotoSans-SemiBold"/>
          <w:kern w:val="0"/>
          <w:sz w:val="16"/>
          <w:szCs w:val="16"/>
        </w:rPr>
      </w:pPr>
      <w:r w:rsidRPr="0001071E">
        <w:rPr>
          <w:rFonts w:ascii="Verdana" w:hAnsi="Verdana" w:cs="NotoSans-SemiBold"/>
          <w:kern w:val="0"/>
          <w:sz w:val="16"/>
          <w:szCs w:val="16"/>
        </w:rPr>
        <w:t>20.</w:t>
      </w:r>
      <w:r w:rsidR="00E072E9">
        <w:rPr>
          <w:rFonts w:ascii="Verdana" w:hAnsi="Verdana" w:cs="NotoSans-SemiBold"/>
          <w:kern w:val="0"/>
          <w:sz w:val="16"/>
          <w:szCs w:val="16"/>
        </w:rPr>
        <w:t xml:space="preserve"> </w:t>
      </w:r>
      <w:proofErr w:type="spellStart"/>
      <w:r w:rsidRPr="0001071E">
        <w:rPr>
          <w:rFonts w:ascii="Verdana" w:hAnsi="Verdana" w:cs="NotoSans-SemiBold"/>
          <w:kern w:val="0"/>
          <w:sz w:val="16"/>
          <w:szCs w:val="16"/>
        </w:rPr>
        <w:t>Okunogbe</w:t>
      </w:r>
      <w:proofErr w:type="spellEnd"/>
      <w:r w:rsidRPr="0001071E">
        <w:rPr>
          <w:rFonts w:ascii="Verdana" w:hAnsi="Verdana" w:cs="NotoSans-SemiBold"/>
          <w:kern w:val="0"/>
          <w:sz w:val="16"/>
          <w:szCs w:val="16"/>
        </w:rPr>
        <w:t xml:space="preserve"> A, Nugent R, Spencer G, et al. BMJ Global Health 2022</w:t>
      </w:r>
      <w:proofErr w:type="gramStart"/>
      <w:r w:rsidRPr="0001071E">
        <w:rPr>
          <w:rFonts w:ascii="Verdana" w:hAnsi="Verdana" w:cs="NotoSans-SemiBold"/>
          <w:kern w:val="0"/>
          <w:sz w:val="16"/>
          <w:szCs w:val="16"/>
        </w:rPr>
        <w:t>;7:e009773</w:t>
      </w:r>
      <w:proofErr w:type="gramEnd"/>
    </w:p>
    <w:sectPr w:rsidR="0001071E" w:rsidRPr="00E07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NotoSan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NotoSans-Semi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A5F76"/>
    <w:multiLevelType w:val="hybridMultilevel"/>
    <w:tmpl w:val="75FCA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030FC"/>
    <w:multiLevelType w:val="hybridMultilevel"/>
    <w:tmpl w:val="BE5C53AA"/>
    <w:lvl w:ilvl="0" w:tplc="1A6E3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5419"/>
    <w:multiLevelType w:val="hybridMultilevel"/>
    <w:tmpl w:val="FC62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21B7A"/>
    <w:multiLevelType w:val="hybridMultilevel"/>
    <w:tmpl w:val="A860DB76"/>
    <w:lvl w:ilvl="0" w:tplc="D3F4C336">
      <w:start w:val="4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9C76425"/>
    <w:multiLevelType w:val="multilevel"/>
    <w:tmpl w:val="5886A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A357825"/>
    <w:multiLevelType w:val="hybridMultilevel"/>
    <w:tmpl w:val="0E169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B259A3"/>
    <w:multiLevelType w:val="hybridMultilevel"/>
    <w:tmpl w:val="FE4E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2EA4"/>
    <w:multiLevelType w:val="hybridMultilevel"/>
    <w:tmpl w:val="EDDC950E"/>
    <w:lvl w:ilvl="0" w:tplc="8870B8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41013"/>
    <w:multiLevelType w:val="multilevel"/>
    <w:tmpl w:val="AFE8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585532"/>
    <w:multiLevelType w:val="multilevel"/>
    <w:tmpl w:val="27E6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B33881"/>
    <w:multiLevelType w:val="hybridMultilevel"/>
    <w:tmpl w:val="135E6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461A79"/>
    <w:multiLevelType w:val="hybridMultilevel"/>
    <w:tmpl w:val="84D07DDA"/>
    <w:lvl w:ilvl="0" w:tplc="8870B8D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E1D89"/>
    <w:multiLevelType w:val="hybridMultilevel"/>
    <w:tmpl w:val="85F206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A091E"/>
    <w:multiLevelType w:val="hybridMultilevel"/>
    <w:tmpl w:val="D388A8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D48C9"/>
    <w:multiLevelType w:val="hybridMultilevel"/>
    <w:tmpl w:val="2EFE23E2"/>
    <w:lvl w:ilvl="0" w:tplc="06F4010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05EA8"/>
    <w:multiLevelType w:val="hybridMultilevel"/>
    <w:tmpl w:val="E1307F1A"/>
    <w:lvl w:ilvl="0" w:tplc="859C425E">
      <w:numFmt w:val="bullet"/>
      <w:lvlText w:val=""/>
      <w:lvlJc w:val="left"/>
      <w:pPr>
        <w:ind w:left="720" w:hanging="360"/>
      </w:pPr>
      <w:rPr>
        <w:rFonts w:ascii="Verdana" w:eastAsia="Times New Roman" w:hAnsi="Verdana" w:cs="Times New Roman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45965"/>
    <w:multiLevelType w:val="hybridMultilevel"/>
    <w:tmpl w:val="A2D8A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031186"/>
    <w:multiLevelType w:val="hybridMultilevel"/>
    <w:tmpl w:val="A64422FC"/>
    <w:lvl w:ilvl="0" w:tplc="859C425E">
      <w:numFmt w:val="bullet"/>
      <w:lvlText w:val=""/>
      <w:lvlJc w:val="left"/>
      <w:pPr>
        <w:ind w:left="768" w:hanging="408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2"/>
  </w:num>
  <w:num w:numId="5">
    <w:abstractNumId w:val="17"/>
  </w:num>
  <w:num w:numId="6">
    <w:abstractNumId w:val="1"/>
  </w:num>
  <w:num w:numId="7">
    <w:abstractNumId w:val="11"/>
  </w:num>
  <w:num w:numId="8">
    <w:abstractNumId w:val="7"/>
  </w:num>
  <w:num w:numId="9">
    <w:abstractNumId w:val="15"/>
  </w:num>
  <w:num w:numId="10">
    <w:abstractNumId w:val="0"/>
  </w:num>
  <w:num w:numId="11">
    <w:abstractNumId w:val="13"/>
  </w:num>
  <w:num w:numId="12">
    <w:abstractNumId w:val="9"/>
  </w:num>
  <w:num w:numId="13">
    <w:abstractNumId w:val="14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4C"/>
    <w:rsid w:val="0001071E"/>
    <w:rsid w:val="00060A4C"/>
    <w:rsid w:val="000636DA"/>
    <w:rsid w:val="00087579"/>
    <w:rsid w:val="000A2FA4"/>
    <w:rsid w:val="000F0A86"/>
    <w:rsid w:val="0013487C"/>
    <w:rsid w:val="001543C5"/>
    <w:rsid w:val="0022659B"/>
    <w:rsid w:val="00251FEF"/>
    <w:rsid w:val="002A628E"/>
    <w:rsid w:val="002F43B4"/>
    <w:rsid w:val="003C3786"/>
    <w:rsid w:val="003E62AD"/>
    <w:rsid w:val="003E7089"/>
    <w:rsid w:val="00415F3E"/>
    <w:rsid w:val="00444B1C"/>
    <w:rsid w:val="00444DD9"/>
    <w:rsid w:val="00464FFA"/>
    <w:rsid w:val="004C1B4E"/>
    <w:rsid w:val="0053198D"/>
    <w:rsid w:val="005A16A1"/>
    <w:rsid w:val="006261AC"/>
    <w:rsid w:val="006471DD"/>
    <w:rsid w:val="006C74F8"/>
    <w:rsid w:val="00736B84"/>
    <w:rsid w:val="0078334C"/>
    <w:rsid w:val="007E7680"/>
    <w:rsid w:val="007F445E"/>
    <w:rsid w:val="008051C3"/>
    <w:rsid w:val="008D02BE"/>
    <w:rsid w:val="00920393"/>
    <w:rsid w:val="009C0309"/>
    <w:rsid w:val="00A72F6A"/>
    <w:rsid w:val="00B34F14"/>
    <w:rsid w:val="00BB0207"/>
    <w:rsid w:val="00BD3CAB"/>
    <w:rsid w:val="00CC1D10"/>
    <w:rsid w:val="00D378A3"/>
    <w:rsid w:val="00D92996"/>
    <w:rsid w:val="00E072E9"/>
    <w:rsid w:val="00E64CE0"/>
    <w:rsid w:val="00E70FA6"/>
    <w:rsid w:val="00F0421B"/>
    <w:rsid w:val="00F16A0F"/>
    <w:rsid w:val="00F6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80449"/>
  <w15:chartTrackingRefBased/>
  <w15:docId w15:val="{C2DE98EA-861A-4211-AAAC-6ECE9061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A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A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A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A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A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A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A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A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A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A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3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063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skaroli\AppData\Local\Microsoft\Windows\INetCache\Content.Outlook\I3FPL1VG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daskaroli\AppData\Local\Microsoft\Windows\INetCache\Content.Outlook\I3FPL1VG\Book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 b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Ελλάδα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Sheet1!$B$32</c:f>
              <c:strCache>
                <c:ptCount val="1"/>
                <c:pt idx="0">
                  <c:v>Ελλάδα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415-4172-B6AC-D37BEB3E9B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415-4172-B6AC-D37BEB3E9B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415-4172-B6AC-D37BEB3E9B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415-4172-B6AC-D37BEB3E9B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5415-4172-B6AC-D37BEB3E9B9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5415-4172-B6AC-D37BEB3E9B9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5415-4172-B6AC-D37BEB3E9B9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5415-4172-B6AC-D37BEB3E9B9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5415-4172-B6AC-D37BEB3E9B9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5415-4172-B6AC-D37BEB3E9B9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l-GR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Sheet1!$A$33:$A$42</c:f>
              <c:strCache>
                <c:ptCount val="10"/>
                <c:pt idx="0">
                  <c:v>Καρδιακή Ανεπάρκεια</c:v>
                </c:pt>
                <c:pt idx="1">
                  <c:v>Χρόνια Νεφρική νόσος</c:v>
                </c:pt>
                <c:pt idx="2">
                  <c:v>Στηθάγχη</c:v>
                </c:pt>
                <c:pt idx="3">
                  <c:v>Κολπική Μαρμαριγή</c:v>
                </c:pt>
                <c:pt idx="4">
                  <c:v>Διαβήτης Τύπου 2</c:v>
                </c:pt>
                <c:pt idx="5">
                  <c:v>Οστεοαρθρίτιδα</c:v>
                </c:pt>
                <c:pt idx="6">
                  <c:v>Υπερλιπιδαιμία</c:v>
                </c:pt>
                <c:pt idx="7">
                  <c:v>Υπέρταση</c:v>
                </c:pt>
                <c:pt idx="8">
                  <c:v>Υπνική Άπνοια</c:v>
                </c:pt>
                <c:pt idx="9">
                  <c:v>Άσθμα</c:v>
                </c:pt>
              </c:strCache>
            </c:strRef>
          </c:cat>
          <c:val>
            <c:numRef>
              <c:f>Sheet1!$B$33:$B$42</c:f>
              <c:numCache>
                <c:formatCode>#,##0</c:formatCode>
                <c:ptCount val="10"/>
                <c:pt idx="0">
                  <c:v>16258</c:v>
                </c:pt>
                <c:pt idx="1">
                  <c:v>11708</c:v>
                </c:pt>
                <c:pt idx="2">
                  <c:v>9410</c:v>
                </c:pt>
                <c:pt idx="3">
                  <c:v>6004</c:v>
                </c:pt>
                <c:pt idx="4">
                  <c:v>2888</c:v>
                </c:pt>
                <c:pt idx="5">
                  <c:v>2681</c:v>
                </c:pt>
                <c:pt idx="6">
                  <c:v>2558</c:v>
                </c:pt>
                <c:pt idx="7">
                  <c:v>1946</c:v>
                </c:pt>
                <c:pt idx="8">
                  <c:v>1540</c:v>
                </c:pt>
                <c:pt idx="9">
                  <c:v>1272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5415-4172-B6AC-D37BEB3E9B9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Συνολικές</a:t>
            </a:r>
            <a:r>
              <a:rPr lang="el-GR" baseline="0">
                <a:solidFill>
                  <a:sysClr val="windowText" lastClr="000000"/>
                </a:solidFill>
                <a:latin typeface="Verdana" panose="020B0604030504040204" pitchFamily="34" charset="0"/>
                <a:ea typeface="Verdana" panose="020B0604030504040204" pitchFamily="34" charset="0"/>
              </a:rPr>
              <a:t> Ετήσιες Δαπάνες</a:t>
            </a:r>
            <a:endParaRPr lang="el-GR">
              <a:solidFill>
                <a:sysClr val="windowText" lastClr="000000"/>
              </a:solidFill>
              <a:latin typeface="Verdana" panose="020B0604030504040204" pitchFamily="34" charset="0"/>
              <a:ea typeface="Verdana" panose="020B060403050404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Sheet1!$B$17</c:f>
              <c:strCache>
                <c:ptCount val="1"/>
                <c:pt idx="0">
                  <c:v>Σύνολο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472-4E0E-9FFB-2655B0FA716A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472-4E0E-9FFB-2655B0FA716A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472-4E0E-9FFB-2655B0FA716A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472-4E0E-9FFB-2655B0FA716A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472-4E0E-9FFB-2655B0FA716A}"/>
              </c:ext>
            </c:extLst>
          </c:dPt>
          <c:cat>
            <c:strRef>
              <c:f>Sheet1!$A$18:$A$27</c:f>
              <c:strCache>
                <c:ptCount val="10"/>
                <c:pt idx="0">
                  <c:v>Καρδιακή Ανεπάρκεια</c:v>
                </c:pt>
                <c:pt idx="1">
                  <c:v>Χρόνια Νεφρική νόσος</c:v>
                </c:pt>
                <c:pt idx="2">
                  <c:v>Στηθάγχη</c:v>
                </c:pt>
                <c:pt idx="3">
                  <c:v>Κολπική Μαρμαριγή</c:v>
                </c:pt>
                <c:pt idx="4">
                  <c:v>Διαβήτης Τύπου 2</c:v>
                </c:pt>
                <c:pt idx="5">
                  <c:v>Οστεοαρθρίτιδα</c:v>
                </c:pt>
                <c:pt idx="6">
                  <c:v>Υπνική Άπνοια</c:v>
                </c:pt>
                <c:pt idx="7">
                  <c:v>Υπερλιπιδαιμία</c:v>
                </c:pt>
                <c:pt idx="8">
                  <c:v>Υπέρταση</c:v>
                </c:pt>
                <c:pt idx="9">
                  <c:v>Άσθμα</c:v>
                </c:pt>
              </c:strCache>
            </c:strRef>
          </c:cat>
          <c:val>
            <c:numRef>
              <c:f>Sheet1!$B$18:$B$27</c:f>
              <c:numCache>
                <c:formatCode>General</c:formatCode>
                <c:ptCount val="10"/>
                <c:pt idx="0">
                  <c:v>28301</c:v>
                </c:pt>
                <c:pt idx="1">
                  <c:v>19446</c:v>
                </c:pt>
                <c:pt idx="2">
                  <c:v>17390</c:v>
                </c:pt>
                <c:pt idx="3">
                  <c:v>13355</c:v>
                </c:pt>
                <c:pt idx="4">
                  <c:v>9283</c:v>
                </c:pt>
                <c:pt idx="5">
                  <c:v>7473</c:v>
                </c:pt>
                <c:pt idx="6">
                  <c:v>6901</c:v>
                </c:pt>
                <c:pt idx="7">
                  <c:v>6046</c:v>
                </c:pt>
                <c:pt idx="8">
                  <c:v>4414</c:v>
                </c:pt>
                <c:pt idx="9">
                  <c:v>3709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6472-4E0E-9FFB-2655B0FA71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3447008"/>
        <c:axId val="333445888"/>
      </c:barChart>
      <c:catAx>
        <c:axId val="33344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333445888"/>
        <c:crosses val="autoZero"/>
        <c:auto val="1"/>
        <c:lblAlgn val="ctr"/>
        <c:lblOffset val="100"/>
        <c:noMultiLvlLbl val="0"/>
      </c:catAx>
      <c:valAx>
        <c:axId val="33344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333447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Boletsi</dc:creator>
  <cp:keywords/>
  <dc:description/>
  <cp:lastModifiedBy>Evi Psomiadi</cp:lastModifiedBy>
  <cp:revision>2</cp:revision>
  <dcterms:created xsi:type="dcterms:W3CDTF">2024-11-21T13:59:00Z</dcterms:created>
  <dcterms:modified xsi:type="dcterms:W3CDTF">2024-11-21T13:59:00Z</dcterms:modified>
</cp:coreProperties>
</file>