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EB0" w:rsidRDefault="00C325CC">
      <w:pPr>
        <w:spacing w:line="200" w:lineRule="atLeast"/>
        <w:ind w:left="50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4461" style="width:30.4pt;height:30.25pt;mso-position-horizontal-relative:char;mso-position-vertical-relative:line" coordsize="608,605">
            <v:group id="_x0000_s4467" style="position:absolute;left:195;width:400;height:212" coordorigin="195" coordsize="400,212">
              <v:shape id="_x0000_s4469" style="position:absolute;left:195;width:400;height:212" coordorigin="195" coordsize="400,212" path="m561,142r-82,l499,143r19,6l575,188r19,24l586,189r-9,-22l565,147r-4,-5xe" fillcolor="#bba26a" stroked="f">
                <v:path arrowok="t"/>
              </v:shape>
              <v:shape id="_x0000_s4468" style="position:absolute;left:195;width:400;height:212" coordorigin="195" coordsize="400,212" path="m306,r-8,2l274,5r-21,7l203,58r-8,31l196,104r30,53l296,179r21,-1l338,174r20,-5l400,157r39,-10l460,143r19,-1l561,142,537,109,487,61,425,26,356,5,332,2,306,xe" fillcolor="#bba26a" stroked="f">
                <v:path arrowok="t"/>
              </v:shape>
            </v:group>
            <v:group id="_x0000_s4464" style="position:absolute;left:110;top:217;width:498;height:388" coordorigin="110,217" coordsize="498,388">
              <v:shape id="_x0000_s4466" style="position:absolute;left:110;top:217;width:498;height:388" coordorigin="110,217" coordsize="498,388" path="m110,535r66,41l250,600r53,5l336,603r86,-22l482,547r-322,l126,540r-16,-5xe" fillcolor="#444491" stroked="f">
                <v:path arrowok="t"/>
              </v:shape>
              <v:shape id="_x0000_s4465" style="position:absolute;left:110;top:217;width:498;height:388" coordorigin="110,217" coordsize="498,388" path="m573,217r-22,l515,224r-55,32l439,280r-10,14l420,307r-14,31l391,371r-29,63l322,490r-60,41l176,547r306,l539,494r45,-74l606,333r2,-31l608,282r-2,-22l601,239r-3,-19l573,217xe" fillcolor="#444491" stroked="f">
                <v:path arrowok="t"/>
              </v:shape>
            </v:group>
            <v:group id="_x0000_s4462" style="position:absolute;top:266;width:230;height:257" coordorigin=",266" coordsize="230,257">
              <v:shape id="_x0000_s4463" style="position:absolute;top:266;width:230;height:257" coordorigin=",266" coordsize="230,257" path="m2,266l,283r,19l7,369r22,62l60,478r9,11l86,502r19,10l124,519r19,4l160,521r17,-3l193,511r7,-7l208,499r6,-9l219,483r5,-8l226,465r3,-9l229,436,193,381,129,355r-26,-8l79,335,65,326,53,318,40,307,14,282,2,266xe" fillcolor="#acb216" stroked="f">
                <v:path arrowok="t"/>
              </v:shape>
            </v:group>
            <w10:anchorlock/>
          </v:group>
        </w:pict>
      </w:r>
    </w:p>
    <w:p w:rsidR="002D3EB0" w:rsidRDefault="002D3EB0">
      <w:pPr>
        <w:spacing w:before="11"/>
        <w:rPr>
          <w:rFonts w:ascii="Times New Roman" w:eastAsia="Times New Roman" w:hAnsi="Times New Roman" w:cs="Times New Roman"/>
          <w:sz w:val="11"/>
          <w:szCs w:val="11"/>
        </w:rPr>
      </w:pPr>
    </w:p>
    <w:p w:rsidR="002D3EB0" w:rsidRPr="00426535" w:rsidRDefault="00C325CC">
      <w:pPr>
        <w:pStyle w:val="Heading5"/>
        <w:spacing w:before="74"/>
        <w:ind w:left="0" w:right="142"/>
        <w:jc w:val="right"/>
        <w:rPr>
          <w:b w:val="0"/>
          <w:bCs w:val="0"/>
          <w:lang w:val="el-GR"/>
        </w:rPr>
      </w:pPr>
      <w:r>
        <w:pict>
          <v:group id="_x0000_s4441" style="position:absolute;left:0;text-align:left;margin-left:257.8pt;margin-top:-1.6pt;width:61.2pt;height:13.65pt;z-index:1072;mso-position-horizontal-relative:page" coordorigin="5156,-32" coordsize="1224,273">
            <v:group id="_x0000_s4459" style="position:absolute;left:6361;top:-14;width:2;height:236" coordorigin="6361,-14" coordsize="2,236">
              <v:shape id="_x0000_s4460" style="position:absolute;left:6361;top:-14;width:2;height:236" coordorigin="6361,-14" coordsize="0,236" path="m6361,-14r,236e" filled="f" strokecolor="#444491" strokeweight=".6435mm">
                <v:path arrowok="t"/>
              </v:shape>
            </v:group>
            <v:group id="_x0000_s4456" style="position:absolute;left:5846;top:-16;width:242;height:240" coordorigin="5846,-16" coordsize="242,240">
              <v:shape id="_x0000_s4458" style="position:absolute;left:5846;top:-16;width:242;height:240" coordorigin="5846,-16" coordsize="242,240" path="m5981,-16r-26,l5943,-14r-62,32l5848,80r-2,12l5846,118r28,63l5931,218r24,5l5979,223r12,-1l6015,215r10,-5l6034,203r10,-7l6049,193r-82,l5950,191r-54,-38l5881,106r2,-19l5919,31r48,-14l6051,17r-7,-5l6036,5r-11,-7l6015,-7r-12,-4l5993,-14r-12,-2xe" fillcolor="#444491" stroked="f">
                <v:path arrowok="t"/>
              </v:shape>
              <v:shape id="_x0000_s4457" style="position:absolute;left:5846;top:-16;width:242;height:240" coordorigin="5846,-16" coordsize="242,240" path="m6051,17r-84,l5984,18r17,6l6046,70r7,36l6051,123r-36,54l5967,193r82,l6053,189r7,-8l6067,171r7,-9l6079,152r3,-12l6086,128r1,-10l6087,92r-1,-12l6082,68r-3,-10l6074,48r-6,-11l6062,27r-9,-9l6051,17xe" fillcolor="#444491" stroked="f">
                <v:path arrowok="t"/>
              </v:shape>
            </v:group>
            <v:group id="_x0000_s4454" style="position:absolute;left:6146;top:-14;width:137;height:236" coordorigin="6146,-14" coordsize="137,236">
              <v:shape id="_x0000_s4455" style="position:absolute;left:6146;top:-14;width:137;height:236" coordorigin="6146,-14" coordsize="137,236" path="m6282,-14r-112,l6160,-12r-7,5l6148,r-2,10l6146,222r34,l6180,126r102,l6282,94r-102,l6180,18r102,l6282,-14xe" fillcolor="#444491" stroked="f">
                <v:path arrowok="t"/>
              </v:shape>
            </v:group>
            <v:group id="_x0000_s4450" style="position:absolute;left:5605;top:-16;width:185;height:240" coordorigin="5605,-16" coordsize="185,240">
              <v:shape id="_x0000_s4453" style="position:absolute;left:5605;top:-16;width:185;height:240" coordorigin="5605,-16" coordsize="185,240" path="m5677,41r-37,l5745,213r3,5l5753,222r6,1l5765,223r9,-1l5783,217r5,-7l5789,200r,-33l5753,167,5677,41xe" fillcolor="#444491" stroked="f">
                <v:path arrowok="t"/>
              </v:shape>
              <v:shape id="_x0000_s4452" style="position:absolute;left:5605;top:-16;width:185;height:240" coordorigin="5605,-16" coordsize="185,240" path="m5634,-16r-5,l5619,-14r-7,5l5607,-2r-2,10l5605,222r35,l5640,41r37,l5650,-4r-9,-8l5634,-16xe" fillcolor="#444491" stroked="f">
                <v:path arrowok="t"/>
              </v:shape>
              <v:shape id="_x0000_s4451" style="position:absolute;left:5605;top:-16;width:185;height:240" coordorigin="5605,-16" coordsize="185,240" path="m5789,-14r-34,l5753,167r36,l5789,-14xe" fillcolor="#444491" stroked="f">
                <v:path arrowok="t"/>
              </v:shape>
            </v:group>
            <v:group id="_x0000_s4446" style="position:absolute;left:5156;top:-17;width:159;height:243" coordorigin="5156,-17" coordsize="159,243">
              <v:shape id="_x0000_s4449" style="position:absolute;left:5156;top:-17;width:159;height:243" coordorigin="5156,-17" coordsize="159,243" path="m5189,153r-33,l5158,169r46,51l5235,225r15,-2l5266,220r12,-7l5290,205r11,-11l5226,194r-8,-1l5211,189r-7,-3l5199,179r-5,-7l5190,164r-1,-11xe" fillcolor="#444491" stroked="f">
                <v:path arrowok="t"/>
              </v:shape>
              <v:shape id="_x0000_s4448" style="position:absolute;left:5156;top:-17;width:159;height:243" coordorigin="5156,-17" coordsize="159,243" path="m5238,-17r-61,29l5164,51r2,15l5228,114r19,5l5261,126r7,5l5275,138r3,9l5280,157r-2,9l5276,172r-5,7l5266,186r-7,3l5250,193r-6,1l5301,194r6,-13l5313,167r1,-15l5313,138,5228,78r-15,-6l5207,68r-5,-5l5201,56r-2,-5l5199,42r2,-6l5228,13r68,l5294,10r-9,-9l5275,-7r-12,-5l5250,-16r-12,-1xe" fillcolor="#444491" stroked="f">
                <v:path arrowok="t"/>
              </v:shape>
              <v:shape id="_x0000_s4447" style="position:absolute;left:5156;top:-17;width:159;height:243" coordorigin="5156,-17" coordsize="159,243" path="m5296,13r-52,l5250,15r6,3l5263,22r3,5l5271,34r2,5l5275,48r34,l5307,34r-5,-14l5296,13xe" fillcolor="#444491" stroked="f">
                <v:path arrowok="t"/>
              </v:shape>
            </v:group>
            <v:group id="_x0000_s4442" style="position:absolute;left:5342;top:-16;width:214;height:238" coordorigin="5342,-16" coordsize="214,238">
              <v:shape id="_x0000_s4445" style="position:absolute;left:5342;top:-16;width:214;height:238" coordorigin="5342,-16" coordsize="214,238" path="m5449,-16r-7,2l5435,-12r-5,5l5426,r-84,222l5378,222r24,-67l5530,155r-12,-31l5414,124r35,-93l5483,31,5471,r-4,-7l5462,-12r-7,-2l5449,-16xe" fillcolor="#444491" stroked="f">
                <v:path arrowok="t"/>
              </v:shape>
              <v:shape id="_x0000_s4444" style="position:absolute;left:5342;top:-16;width:214;height:238" coordorigin="5342,-16" coordsize="214,238" path="m5530,155r-35,l5519,222r36,l5530,155xe" fillcolor="#444491" stroked="f">
                <v:path arrowok="t"/>
              </v:shape>
              <v:shape id="_x0000_s4443" style="position:absolute;left:5342;top:-16;width:214;height:238" coordorigin="5342,-16" coordsize="214,238" path="m5483,31r-34,l5485,124r33,l5483,31xe" fillcolor="#444491" stroked="f">
                <v:path arrowok="t"/>
              </v:shape>
            </v:group>
            <w10:wrap anchorx="page"/>
          </v:group>
        </w:pict>
      </w:r>
      <w:r w:rsidR="001A45EC">
        <w:rPr>
          <w:color w:val="444491"/>
          <w:spacing w:val="-1"/>
          <w:lang w:val="el-GR"/>
        </w:rPr>
        <w:t>Παρίσι</w:t>
      </w:r>
      <w:r w:rsidR="00E363DA" w:rsidRPr="00426535">
        <w:rPr>
          <w:color w:val="444491"/>
          <w:spacing w:val="-1"/>
          <w:lang w:val="el-GR"/>
        </w:rPr>
        <w:t>,</w:t>
      </w:r>
      <w:r w:rsidR="0011010F">
        <w:rPr>
          <w:color w:val="444491"/>
          <w:spacing w:val="-1"/>
          <w:lang w:val="el-GR"/>
        </w:rPr>
        <w:t xml:space="preserve"> </w:t>
      </w:r>
      <w:r w:rsidR="00E363DA" w:rsidRPr="00426535">
        <w:rPr>
          <w:color w:val="444491"/>
          <w:lang w:val="el-GR"/>
        </w:rPr>
        <w:t>8</w:t>
      </w:r>
      <w:r w:rsidR="009D39BC">
        <w:rPr>
          <w:color w:val="444491"/>
          <w:lang w:val="el-GR"/>
        </w:rPr>
        <w:t xml:space="preserve"> </w:t>
      </w:r>
      <w:r w:rsidR="0011010F">
        <w:rPr>
          <w:color w:val="444491"/>
          <w:lang w:val="el-GR"/>
        </w:rPr>
        <w:t>Φεβρουαρί</w:t>
      </w:r>
      <w:r w:rsidR="001A45EC">
        <w:rPr>
          <w:color w:val="444491"/>
          <w:lang w:val="el-GR"/>
        </w:rPr>
        <w:t>ου</w:t>
      </w:r>
      <w:r w:rsidR="00E363DA" w:rsidRPr="00426535">
        <w:rPr>
          <w:color w:val="444491"/>
          <w:lang w:val="el-GR"/>
        </w:rPr>
        <w:t>,</w:t>
      </w:r>
      <w:r w:rsidR="00E363DA" w:rsidRPr="00426535">
        <w:rPr>
          <w:color w:val="444491"/>
          <w:spacing w:val="-8"/>
          <w:lang w:val="el-GR"/>
        </w:rPr>
        <w:t xml:space="preserve"> </w:t>
      </w:r>
      <w:r w:rsidR="00E363DA" w:rsidRPr="00426535">
        <w:rPr>
          <w:color w:val="444491"/>
          <w:spacing w:val="-1"/>
          <w:lang w:val="el-GR"/>
        </w:rPr>
        <w:t>201</w:t>
      </w:r>
      <w:r w:rsidR="0011010F">
        <w:rPr>
          <w:color w:val="444491"/>
          <w:spacing w:val="-1"/>
          <w:lang w:val="el-GR"/>
        </w:rPr>
        <w:t>7</w:t>
      </w:r>
    </w:p>
    <w:p w:rsidR="002D3EB0" w:rsidRPr="00426535" w:rsidRDefault="002D3EB0">
      <w:pPr>
        <w:spacing w:before="5"/>
        <w:rPr>
          <w:rFonts w:ascii="Arial" w:eastAsia="Arial" w:hAnsi="Arial" w:cs="Arial"/>
          <w:b/>
          <w:bCs/>
          <w:lang w:val="el-GR"/>
        </w:rPr>
      </w:pPr>
    </w:p>
    <w:p w:rsidR="002D3EB0" w:rsidRDefault="001A45EC" w:rsidP="00C01010">
      <w:pPr>
        <w:spacing w:before="66"/>
        <w:ind w:left="1418"/>
        <w:jc w:val="center"/>
        <w:rPr>
          <w:rFonts w:ascii="Arial" w:hAnsi="Arial" w:cs="Arial"/>
          <w:b/>
          <w:color w:val="444491"/>
          <w:spacing w:val="-10"/>
          <w:sz w:val="26"/>
          <w:lang w:val="el-GR"/>
        </w:rPr>
      </w:pPr>
      <w:r w:rsidRPr="009D39BC">
        <w:rPr>
          <w:rFonts w:ascii="Arial" w:hAnsi="Arial" w:cs="Arial"/>
          <w:b/>
          <w:color w:val="444491"/>
          <w:sz w:val="26"/>
          <w:lang w:val="el-GR"/>
        </w:rPr>
        <w:t xml:space="preserve">Η </w:t>
      </w:r>
      <w:r w:rsidR="00E363DA" w:rsidRPr="009D39BC">
        <w:rPr>
          <w:rFonts w:ascii="Arial" w:hAnsi="Arial" w:cs="Arial"/>
          <w:b/>
          <w:color w:val="444491"/>
          <w:sz w:val="26"/>
        </w:rPr>
        <w:t>Sanofi</w:t>
      </w:r>
      <w:r w:rsidR="00E363DA" w:rsidRPr="009D39BC">
        <w:rPr>
          <w:rFonts w:ascii="Arial" w:hAnsi="Arial" w:cs="Arial"/>
          <w:b/>
          <w:color w:val="444491"/>
          <w:spacing w:val="-7"/>
          <w:sz w:val="26"/>
          <w:lang w:val="el-GR"/>
        </w:rPr>
        <w:t xml:space="preserve"> </w:t>
      </w:r>
      <w:r w:rsidR="00C01010">
        <w:rPr>
          <w:rFonts w:ascii="Arial" w:hAnsi="Arial" w:cs="Arial"/>
          <w:b/>
          <w:color w:val="444491"/>
          <w:spacing w:val="-1"/>
          <w:sz w:val="26"/>
          <w:lang w:val="el-GR"/>
        </w:rPr>
        <w:t xml:space="preserve">Καταγράφει Αύξηση Πωλήσεων και Κερδών Δραστηριοτήτων ανά Μετοχή σε σταθερές τιμές συναλλάγματος για το </w:t>
      </w:r>
      <w:r w:rsidR="00E363DA" w:rsidRPr="009D39BC">
        <w:rPr>
          <w:rFonts w:ascii="Arial" w:hAnsi="Arial" w:cs="Arial"/>
          <w:b/>
          <w:color w:val="444491"/>
          <w:spacing w:val="-1"/>
          <w:sz w:val="26"/>
          <w:lang w:val="el-GR"/>
        </w:rPr>
        <w:t>2016</w:t>
      </w:r>
    </w:p>
    <w:p w:rsidR="002D3EB0" w:rsidRPr="001A45EC" w:rsidRDefault="002D3EB0">
      <w:pPr>
        <w:spacing w:before="3"/>
        <w:rPr>
          <w:rFonts w:ascii="Arial" w:eastAsia="Arial" w:hAnsi="Arial" w:cs="Arial"/>
          <w:b/>
          <w:bCs/>
          <w:sz w:val="6"/>
          <w:szCs w:val="6"/>
          <w:lang w:val="el-GR"/>
        </w:rPr>
      </w:pPr>
    </w:p>
    <w:tbl>
      <w:tblPr>
        <w:tblStyle w:val="TableNormal1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499"/>
        <w:gridCol w:w="1132"/>
        <w:gridCol w:w="1167"/>
        <w:gridCol w:w="1617"/>
        <w:gridCol w:w="1547"/>
        <w:gridCol w:w="1377"/>
        <w:gridCol w:w="1620"/>
      </w:tblGrid>
      <w:tr w:rsidR="002D3EB0" w:rsidRPr="00AE0BE6" w:rsidTr="00694490">
        <w:trPr>
          <w:trHeight w:hRule="exact" w:val="350"/>
        </w:trPr>
        <w:tc>
          <w:tcPr>
            <w:tcW w:w="3631" w:type="dxa"/>
            <w:gridSpan w:val="2"/>
            <w:tcBorders>
              <w:top w:val="nil"/>
              <w:left w:val="nil"/>
              <w:bottom w:val="single" w:sz="12" w:space="0" w:color="D3E0AD"/>
              <w:right w:val="nil"/>
            </w:tcBorders>
            <w:shd w:val="clear" w:color="auto" w:fill="CDD2EB"/>
          </w:tcPr>
          <w:p w:rsidR="002D3EB0" w:rsidRPr="00AE0BE6" w:rsidRDefault="00AE0BE6" w:rsidP="0011010F">
            <w:pPr>
              <w:pStyle w:val="TableParagraph"/>
              <w:spacing w:before="118"/>
              <w:ind w:right="33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1"/>
                <w:sz w:val="16"/>
                <w:lang w:val="el-GR"/>
              </w:rPr>
              <w:t xml:space="preserve">    </w:t>
            </w:r>
            <w:r w:rsidR="0011010F">
              <w:rPr>
                <w:rFonts w:ascii="Arial" w:hAnsi="Arial" w:cs="Arial"/>
                <w:b/>
                <w:spacing w:val="-1"/>
                <w:sz w:val="16"/>
                <w:lang w:val="el-GR"/>
              </w:rPr>
              <w:t>4</w:t>
            </w:r>
            <w:r w:rsidR="009D39BC" w:rsidRPr="00AE0BE6">
              <w:rPr>
                <w:rFonts w:ascii="Arial" w:hAnsi="Arial" w:cs="Arial"/>
                <w:b/>
                <w:spacing w:val="-1"/>
                <w:sz w:val="16"/>
                <w:lang w:val="el-GR"/>
              </w:rPr>
              <w:t>ο τρίμηνο</w:t>
            </w:r>
            <w:r w:rsidR="0011010F">
              <w:rPr>
                <w:rFonts w:ascii="Arial" w:hAnsi="Arial" w:cs="Arial"/>
                <w:b/>
                <w:spacing w:val="-1"/>
                <w:sz w:val="16"/>
              </w:rPr>
              <w:t xml:space="preserve"> 2016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12" w:space="0" w:color="D3E0AD"/>
              <w:right w:val="nil"/>
            </w:tcBorders>
            <w:shd w:val="clear" w:color="auto" w:fill="CDD2EB"/>
          </w:tcPr>
          <w:p w:rsidR="002D3EB0" w:rsidRPr="00AE0BE6" w:rsidRDefault="009D39BC">
            <w:pPr>
              <w:pStyle w:val="TableParagraph"/>
              <w:spacing w:before="121"/>
              <w:ind w:left="290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AE0BE6">
              <w:rPr>
                <w:rFonts w:ascii="Arial" w:hAnsi="Arial" w:cs="Arial"/>
                <w:b/>
                <w:i/>
                <w:spacing w:val="-1"/>
                <w:sz w:val="16"/>
                <w:lang w:val="el-GR"/>
              </w:rPr>
              <w:t>Μεταβολή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12" w:space="0" w:color="D3E0AD"/>
              <w:right w:val="nil"/>
            </w:tcBorders>
            <w:shd w:val="clear" w:color="auto" w:fill="CDD2EB"/>
          </w:tcPr>
          <w:p w:rsidR="002D3EB0" w:rsidRPr="00AE0BE6" w:rsidRDefault="009D39BC">
            <w:pPr>
              <w:pStyle w:val="TableParagraph"/>
              <w:spacing w:before="121"/>
              <w:ind w:left="267"/>
              <w:rPr>
                <w:rFonts w:ascii="Arial" w:eastAsia="Arial" w:hAnsi="Arial" w:cs="Arial"/>
                <w:sz w:val="16"/>
                <w:szCs w:val="16"/>
              </w:rPr>
            </w:pPr>
            <w:r w:rsidRPr="00AE0BE6">
              <w:rPr>
                <w:rFonts w:ascii="Arial" w:hAnsi="Arial" w:cs="Arial"/>
                <w:b/>
                <w:i/>
                <w:spacing w:val="-1"/>
                <w:sz w:val="16"/>
                <w:lang w:val="el-GR"/>
              </w:rPr>
              <w:t>Μεταβολή</w:t>
            </w:r>
            <w:r w:rsidR="00E363DA" w:rsidRPr="00AE0BE6">
              <w:rPr>
                <w:rFonts w:ascii="Arial" w:hAnsi="Arial" w:cs="Arial"/>
                <w:b/>
                <w:i/>
                <w:spacing w:val="-1"/>
                <w:sz w:val="16"/>
              </w:rPr>
              <w:t xml:space="preserve"> (CER)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13" w:space="0" w:color="D3E0AD"/>
              <w:right w:val="nil"/>
            </w:tcBorders>
            <w:shd w:val="clear" w:color="auto" w:fill="CDD2EB"/>
          </w:tcPr>
          <w:p w:rsidR="002D3EB0" w:rsidRPr="00AE0BE6" w:rsidRDefault="00E363DA" w:rsidP="009D39BC">
            <w:pPr>
              <w:pStyle w:val="TableParagraph"/>
              <w:spacing w:before="118"/>
              <w:ind w:left="424"/>
              <w:rPr>
                <w:rFonts w:ascii="Arial" w:eastAsia="Arial" w:hAnsi="Arial" w:cs="Arial"/>
                <w:sz w:val="16"/>
                <w:szCs w:val="16"/>
              </w:rPr>
            </w:pPr>
            <w:r w:rsidRPr="00AE0BE6">
              <w:rPr>
                <w:rFonts w:ascii="Arial" w:hAnsi="Arial" w:cs="Arial"/>
                <w:b/>
                <w:spacing w:val="-1"/>
                <w:sz w:val="16"/>
              </w:rPr>
              <w:t>2016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12" w:space="0" w:color="D3E0AD"/>
              <w:right w:val="nil"/>
            </w:tcBorders>
            <w:shd w:val="clear" w:color="auto" w:fill="CDD2EB"/>
          </w:tcPr>
          <w:p w:rsidR="002D3EB0" w:rsidRPr="00AE0BE6" w:rsidRDefault="009D39BC">
            <w:pPr>
              <w:pStyle w:val="TableParagraph"/>
              <w:spacing w:before="121"/>
              <w:ind w:left="444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AE0BE6">
              <w:rPr>
                <w:rFonts w:ascii="Arial" w:hAnsi="Arial" w:cs="Arial"/>
                <w:b/>
                <w:i/>
                <w:spacing w:val="-1"/>
                <w:sz w:val="16"/>
                <w:lang w:val="el-GR"/>
              </w:rPr>
              <w:t>Μεταβολή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D3E0AD"/>
              <w:right w:val="nil"/>
            </w:tcBorders>
            <w:shd w:val="clear" w:color="auto" w:fill="CDD2EB"/>
          </w:tcPr>
          <w:p w:rsidR="002D3EB0" w:rsidRPr="00AE0BE6" w:rsidRDefault="009D39BC">
            <w:pPr>
              <w:pStyle w:val="TableParagraph"/>
              <w:spacing w:before="121"/>
              <w:ind w:left="318"/>
              <w:rPr>
                <w:rFonts w:ascii="Arial" w:eastAsia="Arial" w:hAnsi="Arial" w:cs="Arial"/>
                <w:sz w:val="16"/>
                <w:szCs w:val="16"/>
              </w:rPr>
            </w:pPr>
            <w:r w:rsidRPr="00AE0BE6">
              <w:rPr>
                <w:rFonts w:ascii="Arial" w:hAnsi="Arial" w:cs="Arial"/>
                <w:b/>
                <w:i/>
                <w:spacing w:val="-1"/>
                <w:sz w:val="16"/>
                <w:lang w:val="el-GR"/>
              </w:rPr>
              <w:t>Μεταβολή</w:t>
            </w:r>
            <w:r w:rsidR="00E363DA" w:rsidRPr="00AE0BE6">
              <w:rPr>
                <w:rFonts w:ascii="Arial" w:hAnsi="Arial" w:cs="Arial"/>
                <w:b/>
                <w:i/>
                <w:spacing w:val="-1"/>
                <w:sz w:val="16"/>
              </w:rPr>
              <w:t>(CER)</w:t>
            </w:r>
          </w:p>
        </w:tc>
      </w:tr>
      <w:tr w:rsidR="002D3EB0" w:rsidTr="00F161DB">
        <w:trPr>
          <w:trHeight w:hRule="exact" w:val="369"/>
        </w:trPr>
        <w:tc>
          <w:tcPr>
            <w:tcW w:w="2499" w:type="dxa"/>
            <w:tcBorders>
              <w:top w:val="single" w:sz="12" w:space="0" w:color="D3E0AD"/>
              <w:left w:val="nil"/>
              <w:bottom w:val="nil"/>
              <w:right w:val="nil"/>
            </w:tcBorders>
          </w:tcPr>
          <w:p w:rsidR="002D3EB0" w:rsidRPr="005D7934" w:rsidRDefault="009D39BC" w:rsidP="009D39BC">
            <w:pPr>
              <w:pStyle w:val="TableParagraph"/>
              <w:spacing w:before="48"/>
              <w:ind w:left="108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5D7934">
              <w:rPr>
                <w:rFonts w:ascii="Arial" w:hAnsi="Arial" w:cs="Arial"/>
                <w:spacing w:val="-1"/>
                <w:sz w:val="16"/>
                <w:szCs w:val="16"/>
                <w:lang w:val="el-GR"/>
              </w:rPr>
              <w:t xml:space="preserve">Καθαρές πωλήσεις βάσει </w:t>
            </w:r>
            <w:r w:rsidR="00E363DA" w:rsidRPr="005D7934">
              <w:rPr>
                <w:rFonts w:ascii="Arial" w:hAnsi="Arial" w:cs="Arial"/>
                <w:spacing w:val="-1"/>
                <w:sz w:val="16"/>
                <w:szCs w:val="16"/>
              </w:rPr>
              <w:t>IFRS</w:t>
            </w:r>
          </w:p>
        </w:tc>
        <w:tc>
          <w:tcPr>
            <w:tcW w:w="1132" w:type="dxa"/>
            <w:tcBorders>
              <w:top w:val="single" w:sz="13" w:space="0" w:color="D3E0AD"/>
              <w:left w:val="nil"/>
              <w:bottom w:val="nil"/>
              <w:right w:val="nil"/>
            </w:tcBorders>
            <w:shd w:val="clear" w:color="auto" w:fill="EFE5D2"/>
          </w:tcPr>
          <w:p w:rsidR="002D3EB0" w:rsidRPr="009D39BC" w:rsidRDefault="00E363DA" w:rsidP="007D17CF">
            <w:pPr>
              <w:pStyle w:val="TableParagraph"/>
              <w:spacing w:before="47"/>
              <w:ind w:left="283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€</w:t>
            </w:r>
            <w:r w:rsidR="007D17CF" w:rsidRPr="003549A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8</w:t>
            </w:r>
            <w:r w:rsidR="007D17C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.</w:t>
            </w:r>
            <w:r w:rsidR="007D17CF" w:rsidRPr="003549A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867</w:t>
            </w:r>
            <w:r w:rsidR="009D39BC">
              <w:rPr>
                <w:rFonts w:ascii="Arial" w:eastAsia="Arial" w:hAnsi="Arial" w:cs="Arial"/>
                <w:spacing w:val="-1"/>
                <w:sz w:val="16"/>
                <w:szCs w:val="16"/>
                <w:lang w:val="el-GR"/>
              </w:rPr>
              <w:t>εκ.</w:t>
            </w:r>
          </w:p>
        </w:tc>
        <w:tc>
          <w:tcPr>
            <w:tcW w:w="1167" w:type="dxa"/>
            <w:tcBorders>
              <w:top w:val="single" w:sz="12" w:space="0" w:color="D3E0AD"/>
              <w:left w:val="nil"/>
              <w:bottom w:val="nil"/>
              <w:right w:val="nil"/>
            </w:tcBorders>
          </w:tcPr>
          <w:p w:rsidR="002D3EB0" w:rsidRDefault="00E363DA" w:rsidP="007D17CF">
            <w:pPr>
              <w:pStyle w:val="TableParagraph"/>
              <w:spacing w:before="48"/>
              <w:ind w:left="3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i/>
                <w:spacing w:val="-1"/>
                <w:sz w:val="16"/>
              </w:rPr>
              <w:t>+</w:t>
            </w:r>
            <w:r w:rsidR="007D17CF">
              <w:rPr>
                <w:rFonts w:ascii="Arial"/>
                <w:i/>
                <w:spacing w:val="-1"/>
                <w:sz w:val="16"/>
              </w:rPr>
              <w:t>3,3</w:t>
            </w:r>
            <w:r>
              <w:rPr>
                <w:rFonts w:ascii="Arial"/>
                <w:i/>
                <w:spacing w:val="-1"/>
                <w:sz w:val="16"/>
              </w:rPr>
              <w:t>%</w:t>
            </w:r>
          </w:p>
        </w:tc>
        <w:tc>
          <w:tcPr>
            <w:tcW w:w="1617" w:type="dxa"/>
            <w:tcBorders>
              <w:top w:val="single" w:sz="12" w:space="0" w:color="D3E0AD"/>
              <w:left w:val="nil"/>
              <w:bottom w:val="nil"/>
              <w:right w:val="nil"/>
            </w:tcBorders>
          </w:tcPr>
          <w:p w:rsidR="002D3EB0" w:rsidRDefault="009D39BC">
            <w:pPr>
              <w:pStyle w:val="TableParagraph"/>
              <w:spacing w:before="48"/>
              <w:ind w:left="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i/>
                <w:spacing w:val="-1"/>
                <w:sz w:val="16"/>
              </w:rPr>
              <w:t>+3,</w:t>
            </w:r>
            <w:r w:rsidR="003B687C">
              <w:rPr>
                <w:rFonts w:ascii="Arial"/>
                <w:i/>
                <w:spacing w:val="-1"/>
                <w:sz w:val="16"/>
              </w:rPr>
              <w:t>4</w:t>
            </w:r>
            <w:r w:rsidR="00E363DA">
              <w:rPr>
                <w:rFonts w:ascii="Arial"/>
                <w:i/>
                <w:spacing w:val="-1"/>
                <w:sz w:val="16"/>
              </w:rPr>
              <w:t>%</w:t>
            </w:r>
          </w:p>
        </w:tc>
        <w:tc>
          <w:tcPr>
            <w:tcW w:w="1547" w:type="dxa"/>
            <w:tcBorders>
              <w:top w:val="single" w:sz="13" w:space="0" w:color="D3E0AD"/>
              <w:left w:val="nil"/>
              <w:bottom w:val="nil"/>
              <w:right w:val="nil"/>
            </w:tcBorders>
            <w:shd w:val="clear" w:color="auto" w:fill="EFE5D2"/>
          </w:tcPr>
          <w:p w:rsidR="002D3EB0" w:rsidRPr="00333DF8" w:rsidRDefault="00333DF8" w:rsidP="003B687C">
            <w:pPr>
              <w:pStyle w:val="TableParagraph"/>
              <w:spacing w:before="47"/>
              <w:ind w:left="379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€</w:t>
            </w:r>
            <w:r w:rsidR="003B687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33.</w:t>
            </w:r>
            <w:r w:rsidR="003B687C" w:rsidRPr="003549A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821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el-GR"/>
              </w:rPr>
              <w:t>εκ.</w:t>
            </w:r>
          </w:p>
        </w:tc>
        <w:tc>
          <w:tcPr>
            <w:tcW w:w="1377" w:type="dxa"/>
            <w:tcBorders>
              <w:top w:val="single" w:sz="12" w:space="0" w:color="D3E0AD"/>
              <w:left w:val="nil"/>
              <w:bottom w:val="nil"/>
              <w:right w:val="nil"/>
            </w:tcBorders>
          </w:tcPr>
          <w:p w:rsidR="002D3EB0" w:rsidRDefault="00E363DA">
            <w:pPr>
              <w:pStyle w:val="TableParagraph"/>
              <w:spacing w:before="48"/>
              <w:ind w:left="5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i/>
                <w:spacing w:val="-1"/>
                <w:sz w:val="16"/>
              </w:rPr>
              <w:t>-</w:t>
            </w:r>
            <w:r w:rsidR="003B687C">
              <w:rPr>
                <w:rFonts w:ascii="Arial"/>
                <w:i/>
                <w:spacing w:val="-1"/>
                <w:sz w:val="16"/>
              </w:rPr>
              <w:t>0</w:t>
            </w:r>
            <w:r w:rsidR="00333DF8">
              <w:rPr>
                <w:rFonts w:ascii="Arial"/>
                <w:i/>
                <w:spacing w:val="-1"/>
                <w:sz w:val="16"/>
              </w:rPr>
              <w:t>,</w:t>
            </w:r>
            <w:r w:rsidR="003B687C">
              <w:rPr>
                <w:rFonts w:ascii="Arial"/>
                <w:i/>
                <w:spacing w:val="-1"/>
                <w:sz w:val="16"/>
              </w:rPr>
              <w:t>7</w:t>
            </w:r>
            <w:r>
              <w:rPr>
                <w:rFonts w:ascii="Arial"/>
                <w:i/>
                <w:spacing w:val="-1"/>
                <w:sz w:val="16"/>
              </w:rPr>
              <w:t>%</w:t>
            </w:r>
          </w:p>
        </w:tc>
        <w:tc>
          <w:tcPr>
            <w:tcW w:w="1620" w:type="dxa"/>
            <w:tcBorders>
              <w:top w:val="single" w:sz="12" w:space="0" w:color="D3E0AD"/>
              <w:left w:val="nil"/>
              <w:bottom w:val="nil"/>
              <w:right w:val="nil"/>
            </w:tcBorders>
          </w:tcPr>
          <w:p w:rsidR="002D3EB0" w:rsidRDefault="003B687C">
            <w:pPr>
              <w:pStyle w:val="TableParagraph"/>
              <w:spacing w:before="48"/>
              <w:ind w:left="6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i/>
                <w:spacing w:val="-1"/>
                <w:sz w:val="16"/>
              </w:rPr>
              <w:t>+1</w:t>
            </w:r>
            <w:r w:rsidR="00333DF8">
              <w:rPr>
                <w:rFonts w:ascii="Arial"/>
                <w:i/>
                <w:spacing w:val="-1"/>
                <w:sz w:val="16"/>
              </w:rPr>
              <w:t>,</w:t>
            </w:r>
            <w:r>
              <w:rPr>
                <w:rFonts w:ascii="Arial"/>
                <w:i/>
                <w:spacing w:val="-1"/>
                <w:sz w:val="16"/>
              </w:rPr>
              <w:t>2</w:t>
            </w:r>
            <w:r w:rsidR="00E363DA">
              <w:rPr>
                <w:rFonts w:ascii="Arial"/>
                <w:i/>
                <w:spacing w:val="-1"/>
                <w:sz w:val="16"/>
              </w:rPr>
              <w:t>%</w:t>
            </w:r>
          </w:p>
        </w:tc>
      </w:tr>
      <w:tr w:rsidR="002D3EB0" w:rsidRPr="003B687C" w:rsidTr="00F161DB">
        <w:trPr>
          <w:trHeight w:hRule="exact" w:val="342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2D3EB0" w:rsidRPr="005D7934" w:rsidRDefault="009D39BC" w:rsidP="009D39BC">
            <w:pPr>
              <w:pStyle w:val="TableParagraph"/>
              <w:spacing w:before="40"/>
              <w:ind w:left="108"/>
              <w:rPr>
                <w:rFonts w:ascii="Arial" w:eastAsia="Arial" w:hAnsi="Arial" w:cs="Arial"/>
                <w:sz w:val="16"/>
                <w:szCs w:val="16"/>
              </w:rPr>
            </w:pPr>
            <w:r w:rsidRPr="005D7934">
              <w:rPr>
                <w:rFonts w:ascii="Arial" w:hAnsi="Arial" w:cs="Arial"/>
                <w:spacing w:val="-1"/>
                <w:sz w:val="16"/>
                <w:lang w:val="el-GR"/>
              </w:rPr>
              <w:t xml:space="preserve">Καθαρά έσοδα βάσει </w:t>
            </w:r>
            <w:r w:rsidR="00E363DA" w:rsidRPr="005D7934">
              <w:rPr>
                <w:rFonts w:ascii="Arial" w:hAnsi="Arial" w:cs="Arial"/>
                <w:spacing w:val="-1"/>
                <w:sz w:val="16"/>
              </w:rPr>
              <w:t>IFRS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EFE5D2"/>
          </w:tcPr>
          <w:p w:rsidR="002D3EB0" w:rsidRPr="009D39BC" w:rsidRDefault="00E363DA" w:rsidP="009D39BC">
            <w:pPr>
              <w:pStyle w:val="TableParagraph"/>
              <w:spacing w:before="40"/>
              <w:ind w:left="283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€</w:t>
            </w:r>
            <w:r w:rsidR="007D17CF">
              <w:rPr>
                <w:rFonts w:ascii="Arial" w:eastAsia="Arial" w:hAnsi="Arial" w:cs="Arial"/>
                <w:spacing w:val="-1"/>
                <w:sz w:val="16"/>
                <w:szCs w:val="16"/>
              </w:rPr>
              <w:t>790</w:t>
            </w:r>
            <w:r w:rsidR="009D39BC">
              <w:rPr>
                <w:rFonts w:ascii="Arial" w:eastAsia="Arial" w:hAnsi="Arial" w:cs="Arial"/>
                <w:spacing w:val="-1"/>
                <w:sz w:val="16"/>
                <w:szCs w:val="16"/>
                <w:lang w:val="el-GR"/>
              </w:rPr>
              <w:t>εκ.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2D3EB0" w:rsidRDefault="00E363DA" w:rsidP="007D17CF">
            <w:pPr>
              <w:pStyle w:val="TableParagraph"/>
              <w:spacing w:before="40"/>
              <w:ind w:left="3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i/>
                <w:spacing w:val="-1"/>
                <w:sz w:val="16"/>
              </w:rPr>
              <w:t>+</w:t>
            </w:r>
            <w:r w:rsidR="007D17CF">
              <w:rPr>
                <w:rFonts w:ascii="Arial"/>
                <w:i/>
                <w:spacing w:val="-1"/>
                <w:sz w:val="16"/>
              </w:rPr>
              <w:t>136,5</w:t>
            </w:r>
            <w:r>
              <w:rPr>
                <w:rFonts w:ascii="Arial"/>
                <w:i/>
                <w:spacing w:val="-1"/>
                <w:sz w:val="16"/>
              </w:rPr>
              <w:t>%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2D3EB0" w:rsidRDefault="002D3EB0"/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EFE5D2"/>
          </w:tcPr>
          <w:p w:rsidR="002D3EB0" w:rsidRPr="00333DF8" w:rsidRDefault="003B687C" w:rsidP="003B687C">
            <w:pPr>
              <w:pStyle w:val="TableParagraph"/>
              <w:spacing w:before="40"/>
              <w:ind w:left="424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3B687C">
              <w:rPr>
                <w:rFonts w:ascii="Arial" w:eastAsia="Arial" w:hAnsi="Arial" w:cs="Arial"/>
                <w:spacing w:val="-2"/>
                <w:sz w:val="16"/>
                <w:szCs w:val="16"/>
                <w:lang w:val="el-GR"/>
              </w:rPr>
              <w:t>€4.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709</w:t>
            </w:r>
            <w:r w:rsidR="00333DF8">
              <w:rPr>
                <w:rFonts w:ascii="Arial" w:eastAsia="Arial" w:hAnsi="Arial" w:cs="Arial"/>
                <w:spacing w:val="-2"/>
                <w:sz w:val="16"/>
                <w:szCs w:val="16"/>
                <w:lang w:val="el-GR"/>
              </w:rPr>
              <w:t>εκ.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D3EB0" w:rsidRPr="003B687C" w:rsidRDefault="003B687C" w:rsidP="003B687C">
            <w:pPr>
              <w:pStyle w:val="TableParagraph"/>
              <w:spacing w:before="40"/>
              <w:ind w:left="528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>
              <w:rPr>
                <w:rFonts w:ascii="Arial"/>
                <w:i/>
                <w:spacing w:val="-1"/>
                <w:sz w:val="16"/>
                <w:lang w:val="el-GR"/>
              </w:rPr>
              <w:t>+9,8</w:t>
            </w:r>
            <w:r w:rsidR="00E363DA" w:rsidRPr="003B687C">
              <w:rPr>
                <w:rFonts w:ascii="Arial"/>
                <w:i/>
                <w:spacing w:val="-1"/>
                <w:sz w:val="16"/>
                <w:lang w:val="el-GR"/>
              </w:rPr>
              <w:t>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2D3EB0" w:rsidRPr="003B687C" w:rsidRDefault="002D3EB0">
            <w:pPr>
              <w:rPr>
                <w:lang w:val="el-GR"/>
              </w:rPr>
            </w:pPr>
          </w:p>
        </w:tc>
      </w:tr>
      <w:tr w:rsidR="002D3EB0" w:rsidRPr="003B687C" w:rsidTr="00F161DB">
        <w:trPr>
          <w:trHeight w:hRule="exact" w:val="352"/>
        </w:trPr>
        <w:tc>
          <w:tcPr>
            <w:tcW w:w="2499" w:type="dxa"/>
            <w:tcBorders>
              <w:top w:val="nil"/>
              <w:left w:val="nil"/>
              <w:bottom w:val="single" w:sz="8" w:space="0" w:color="D3E0AD"/>
              <w:right w:val="nil"/>
            </w:tcBorders>
          </w:tcPr>
          <w:p w:rsidR="002D3EB0" w:rsidRPr="005D7934" w:rsidRDefault="005D7934" w:rsidP="005D7934">
            <w:pPr>
              <w:pStyle w:val="TableParagraph"/>
              <w:spacing w:before="41"/>
              <w:ind w:left="108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5D7934">
              <w:rPr>
                <w:rFonts w:ascii="Arial" w:hAnsi="Arial" w:cs="Arial"/>
                <w:spacing w:val="-1"/>
                <w:sz w:val="16"/>
                <w:lang w:val="el-GR"/>
              </w:rPr>
              <w:t xml:space="preserve">Κέρδη ανά μετοχή βάσει </w:t>
            </w:r>
            <w:r w:rsidR="00E363DA" w:rsidRPr="005D7934">
              <w:rPr>
                <w:rFonts w:ascii="Arial" w:hAnsi="Arial" w:cs="Arial"/>
                <w:spacing w:val="-1"/>
                <w:sz w:val="16"/>
              </w:rPr>
              <w:t>IFRS</w:t>
            </w:r>
            <w:r w:rsidR="00E363DA" w:rsidRPr="005D7934">
              <w:rPr>
                <w:rFonts w:ascii="Arial" w:hAnsi="Arial" w:cs="Arial"/>
                <w:sz w:val="16"/>
                <w:lang w:val="el-GR"/>
              </w:rPr>
              <w:t xml:space="preserve">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D3E0AD"/>
              <w:right w:val="nil"/>
            </w:tcBorders>
            <w:shd w:val="clear" w:color="auto" w:fill="EFE5D2"/>
          </w:tcPr>
          <w:p w:rsidR="002D3EB0" w:rsidRPr="003B687C" w:rsidRDefault="009D39BC" w:rsidP="007D17CF">
            <w:pPr>
              <w:pStyle w:val="TableParagraph"/>
              <w:spacing w:before="41"/>
              <w:ind w:left="393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3B687C">
              <w:rPr>
                <w:rFonts w:ascii="Arial" w:eastAsia="Arial" w:hAnsi="Arial" w:cs="Arial"/>
                <w:spacing w:val="-1"/>
                <w:sz w:val="16"/>
                <w:szCs w:val="16"/>
                <w:lang w:val="el-GR"/>
              </w:rPr>
              <w:t>€</w:t>
            </w:r>
            <w:r w:rsidR="007D17CF" w:rsidRPr="003B687C">
              <w:rPr>
                <w:rFonts w:ascii="Arial" w:eastAsia="Arial" w:hAnsi="Arial" w:cs="Arial"/>
                <w:spacing w:val="-1"/>
                <w:sz w:val="16"/>
                <w:szCs w:val="16"/>
                <w:lang w:val="el-GR"/>
              </w:rPr>
              <w:t>0,62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D3E0AD"/>
              <w:right w:val="nil"/>
            </w:tcBorders>
          </w:tcPr>
          <w:p w:rsidR="002D3EB0" w:rsidRPr="003B687C" w:rsidRDefault="009D39BC">
            <w:pPr>
              <w:pStyle w:val="TableParagraph"/>
              <w:spacing w:before="41"/>
              <w:ind w:left="355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3B687C">
              <w:rPr>
                <w:rFonts w:ascii="Arial"/>
                <w:i/>
                <w:spacing w:val="-1"/>
                <w:sz w:val="16"/>
                <w:lang w:val="el-GR"/>
              </w:rPr>
              <w:t>+</w:t>
            </w:r>
            <w:r w:rsidR="007D17CF" w:rsidRPr="003B687C">
              <w:rPr>
                <w:rFonts w:ascii="Arial"/>
                <w:i/>
                <w:spacing w:val="-1"/>
                <w:sz w:val="16"/>
                <w:lang w:val="el-GR"/>
              </w:rPr>
              <w:t>138,5</w:t>
            </w:r>
            <w:r w:rsidR="00E363DA" w:rsidRPr="003B687C">
              <w:rPr>
                <w:rFonts w:ascii="Arial"/>
                <w:i/>
                <w:spacing w:val="-1"/>
                <w:sz w:val="16"/>
                <w:lang w:val="el-GR"/>
              </w:rPr>
              <w:t>%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D3E0AD"/>
              <w:right w:val="nil"/>
            </w:tcBorders>
          </w:tcPr>
          <w:p w:rsidR="002D3EB0" w:rsidRPr="003B687C" w:rsidRDefault="002D3EB0">
            <w:pPr>
              <w:rPr>
                <w:lang w:val="el-GR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D3E0AD"/>
              <w:right w:val="nil"/>
            </w:tcBorders>
            <w:shd w:val="clear" w:color="auto" w:fill="EFE5D2"/>
          </w:tcPr>
          <w:p w:rsidR="002D3EB0" w:rsidRPr="003B687C" w:rsidRDefault="00333DF8" w:rsidP="003B687C">
            <w:pPr>
              <w:pStyle w:val="TableParagraph"/>
              <w:spacing w:before="41"/>
              <w:ind w:right="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B687C">
              <w:rPr>
                <w:rFonts w:ascii="Arial" w:eastAsia="Arial" w:hAnsi="Arial" w:cs="Arial"/>
                <w:spacing w:val="-1"/>
                <w:sz w:val="16"/>
                <w:szCs w:val="16"/>
                <w:lang w:val="el-GR"/>
              </w:rPr>
              <w:t>€3,</w:t>
            </w:r>
            <w:r w:rsidR="003B687C">
              <w:rPr>
                <w:rFonts w:ascii="Arial" w:eastAsia="Arial" w:hAnsi="Arial" w:cs="Arial"/>
                <w:spacing w:val="-1"/>
                <w:sz w:val="16"/>
                <w:szCs w:val="16"/>
              </w:rPr>
              <w:t>66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D3E0AD"/>
              <w:right w:val="nil"/>
            </w:tcBorders>
          </w:tcPr>
          <w:p w:rsidR="002D3EB0" w:rsidRPr="003B687C" w:rsidRDefault="00333DF8" w:rsidP="003B687C">
            <w:pPr>
              <w:pStyle w:val="TableParagraph"/>
              <w:spacing w:before="41"/>
              <w:ind w:left="507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3B687C">
              <w:rPr>
                <w:rFonts w:ascii="Arial"/>
                <w:i/>
                <w:spacing w:val="-1"/>
                <w:sz w:val="16"/>
                <w:lang w:val="el-GR"/>
              </w:rPr>
              <w:t>+</w:t>
            </w:r>
            <w:r w:rsidR="003B687C">
              <w:rPr>
                <w:rFonts w:ascii="Arial"/>
                <w:i/>
                <w:spacing w:val="-1"/>
                <w:sz w:val="16"/>
                <w:lang w:val="el-GR"/>
              </w:rPr>
              <w:t>11,6</w:t>
            </w:r>
            <w:r w:rsidR="00E363DA" w:rsidRPr="003B687C">
              <w:rPr>
                <w:rFonts w:ascii="Arial"/>
                <w:i/>
                <w:spacing w:val="-1"/>
                <w:sz w:val="16"/>
                <w:lang w:val="el-GR"/>
              </w:rPr>
              <w:t>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D3E0AD"/>
              <w:right w:val="nil"/>
            </w:tcBorders>
          </w:tcPr>
          <w:p w:rsidR="002D3EB0" w:rsidRPr="003B687C" w:rsidRDefault="002D3EB0">
            <w:pPr>
              <w:rPr>
                <w:lang w:val="el-GR"/>
              </w:rPr>
            </w:pPr>
          </w:p>
        </w:tc>
      </w:tr>
      <w:tr w:rsidR="002D3EB0" w:rsidTr="00F161DB">
        <w:trPr>
          <w:trHeight w:hRule="exact" w:val="342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2D3EB0" w:rsidRPr="003B687C" w:rsidRDefault="005D7934" w:rsidP="005D7934">
            <w:pPr>
              <w:pStyle w:val="TableParagraph"/>
              <w:spacing w:before="33"/>
              <w:ind w:left="108"/>
              <w:rPr>
                <w:rFonts w:ascii="Arial" w:eastAsia="Arial" w:hAnsi="Arial" w:cs="Arial"/>
                <w:sz w:val="14"/>
                <w:szCs w:val="14"/>
                <w:lang w:val="el-GR"/>
              </w:rPr>
            </w:pPr>
            <w:r w:rsidRPr="005D7934">
              <w:rPr>
                <w:rFonts w:ascii="Arial" w:hAnsi="Arial" w:cs="Arial"/>
                <w:spacing w:val="-1"/>
                <w:sz w:val="14"/>
                <w:szCs w:val="14"/>
                <w:lang w:val="el-GR"/>
              </w:rPr>
              <w:t>Καθαρά κέρδη δραστηριοτήτων</w:t>
            </w:r>
            <w:r w:rsidR="007D17CF" w:rsidRPr="003B687C">
              <w:rPr>
                <w:rFonts w:ascii="Arial" w:hAnsi="Arial" w:cs="Arial"/>
                <w:spacing w:val="-1"/>
                <w:position w:val="8"/>
                <w:sz w:val="16"/>
                <w:szCs w:val="16"/>
                <w:vertAlign w:val="superscript"/>
                <w:lang w:val="el-GR"/>
              </w:rPr>
              <w:t>(1</w:t>
            </w:r>
            <w:r w:rsidR="00E363DA" w:rsidRPr="003B687C">
              <w:rPr>
                <w:rFonts w:ascii="Arial" w:hAnsi="Arial" w:cs="Arial"/>
                <w:spacing w:val="-1"/>
                <w:position w:val="8"/>
                <w:sz w:val="16"/>
                <w:szCs w:val="16"/>
                <w:vertAlign w:val="superscript"/>
                <w:lang w:val="el-GR"/>
              </w:rPr>
              <w:t>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EFE5D2"/>
          </w:tcPr>
          <w:p w:rsidR="002D3EB0" w:rsidRPr="009D39BC" w:rsidRDefault="009D39BC" w:rsidP="007D17CF">
            <w:pPr>
              <w:pStyle w:val="TableParagraph"/>
              <w:spacing w:before="44"/>
              <w:ind w:left="283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3B687C">
              <w:rPr>
                <w:rFonts w:ascii="Arial" w:eastAsia="Arial" w:hAnsi="Arial" w:cs="Arial"/>
                <w:spacing w:val="-1"/>
                <w:sz w:val="16"/>
                <w:szCs w:val="16"/>
                <w:lang w:val="el-GR"/>
              </w:rPr>
              <w:t>€</w:t>
            </w:r>
            <w:r w:rsidR="007D17CF" w:rsidRPr="003B687C">
              <w:rPr>
                <w:rFonts w:ascii="Arial" w:eastAsia="Arial" w:hAnsi="Arial" w:cs="Arial"/>
                <w:spacing w:val="-1"/>
                <w:sz w:val="16"/>
                <w:szCs w:val="16"/>
                <w:lang w:val="el-GR"/>
              </w:rPr>
              <w:t>1.606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el-GR"/>
              </w:rPr>
              <w:t>εκ.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2D3EB0" w:rsidRPr="003B687C" w:rsidRDefault="007D17CF">
            <w:pPr>
              <w:pStyle w:val="TableParagraph"/>
              <w:spacing w:before="44"/>
              <w:ind w:left="355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3B687C">
              <w:rPr>
                <w:rFonts w:ascii="Arial"/>
                <w:i/>
                <w:spacing w:val="-1"/>
                <w:sz w:val="16"/>
                <w:lang w:val="el-GR"/>
              </w:rPr>
              <w:t>-6,0</w:t>
            </w:r>
            <w:r w:rsidR="00E363DA" w:rsidRPr="003B687C">
              <w:rPr>
                <w:rFonts w:ascii="Arial"/>
                <w:i/>
                <w:spacing w:val="-1"/>
                <w:sz w:val="16"/>
                <w:lang w:val="el-GR"/>
              </w:rPr>
              <w:t>%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2D3EB0" w:rsidRPr="003B687C" w:rsidRDefault="003B687C" w:rsidP="003B687C">
            <w:pPr>
              <w:pStyle w:val="TableParagraph"/>
              <w:spacing w:before="44"/>
              <w:ind w:left="531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3B687C">
              <w:rPr>
                <w:rFonts w:ascii="Arial"/>
                <w:i/>
                <w:spacing w:val="-1"/>
                <w:sz w:val="16"/>
                <w:lang w:val="el-GR"/>
              </w:rPr>
              <w:t>-2,9</w:t>
            </w:r>
            <w:r w:rsidR="00E363DA" w:rsidRPr="003B687C">
              <w:rPr>
                <w:rFonts w:ascii="Arial"/>
                <w:i/>
                <w:spacing w:val="-1"/>
                <w:sz w:val="16"/>
                <w:lang w:val="el-GR"/>
              </w:rPr>
              <w:t>%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EFE5D2"/>
          </w:tcPr>
          <w:p w:rsidR="002D3EB0" w:rsidRPr="00333DF8" w:rsidRDefault="00333DF8" w:rsidP="003B687C">
            <w:pPr>
              <w:pStyle w:val="TableParagraph"/>
              <w:spacing w:before="44"/>
              <w:ind w:left="424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3B687C">
              <w:rPr>
                <w:rFonts w:ascii="Arial" w:eastAsia="Arial" w:hAnsi="Arial" w:cs="Arial"/>
                <w:spacing w:val="-1"/>
                <w:sz w:val="16"/>
                <w:szCs w:val="16"/>
                <w:lang w:val="el-GR"/>
              </w:rPr>
              <w:t>€</w:t>
            </w:r>
            <w:r w:rsidR="003B687C">
              <w:rPr>
                <w:rFonts w:ascii="Arial" w:eastAsia="Arial" w:hAnsi="Arial" w:cs="Arial"/>
                <w:spacing w:val="-1"/>
                <w:sz w:val="16"/>
                <w:szCs w:val="16"/>
                <w:lang w:val="el-GR"/>
              </w:rPr>
              <w:t>7</w:t>
            </w:r>
            <w:r w:rsidRPr="003B687C">
              <w:rPr>
                <w:rFonts w:ascii="Arial" w:eastAsia="Arial" w:hAnsi="Arial" w:cs="Arial"/>
                <w:spacing w:val="-1"/>
                <w:sz w:val="16"/>
                <w:szCs w:val="16"/>
                <w:lang w:val="el-GR"/>
              </w:rPr>
              <w:t>.</w:t>
            </w:r>
            <w:r w:rsidR="003B687C">
              <w:rPr>
                <w:rFonts w:ascii="Arial" w:eastAsia="Arial" w:hAnsi="Arial" w:cs="Arial"/>
                <w:spacing w:val="-1"/>
                <w:sz w:val="16"/>
                <w:szCs w:val="16"/>
              </w:rPr>
              <w:t>308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el-GR"/>
              </w:rPr>
              <w:t>εκ.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D3EB0" w:rsidRDefault="003B687C">
            <w:pPr>
              <w:pStyle w:val="TableParagraph"/>
              <w:spacing w:before="44"/>
              <w:ind w:left="5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i/>
                <w:spacing w:val="-1"/>
                <w:sz w:val="16"/>
              </w:rPr>
              <w:t>-</w:t>
            </w:r>
            <w:r w:rsidR="00333DF8">
              <w:rPr>
                <w:rFonts w:ascii="Arial"/>
                <w:i/>
                <w:spacing w:val="-1"/>
                <w:sz w:val="16"/>
              </w:rPr>
              <w:t>0,</w:t>
            </w:r>
            <w:r>
              <w:rPr>
                <w:rFonts w:ascii="Arial"/>
                <w:i/>
                <w:spacing w:val="-1"/>
                <w:sz w:val="16"/>
              </w:rPr>
              <w:t>9</w:t>
            </w:r>
            <w:r w:rsidR="00E363DA">
              <w:rPr>
                <w:rFonts w:ascii="Arial"/>
                <w:i/>
                <w:spacing w:val="-1"/>
                <w:sz w:val="16"/>
              </w:rPr>
              <w:t>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2D3EB0" w:rsidRDefault="003B687C">
            <w:pPr>
              <w:pStyle w:val="TableParagraph"/>
              <w:spacing w:before="44"/>
              <w:ind w:left="6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i/>
                <w:spacing w:val="-1"/>
                <w:sz w:val="16"/>
              </w:rPr>
              <w:t>+2</w:t>
            </w:r>
            <w:r w:rsidR="00333DF8">
              <w:rPr>
                <w:rFonts w:ascii="Arial"/>
                <w:i/>
                <w:spacing w:val="-1"/>
                <w:sz w:val="16"/>
              </w:rPr>
              <w:t>,</w:t>
            </w:r>
            <w:r>
              <w:rPr>
                <w:rFonts w:ascii="Arial"/>
                <w:i/>
                <w:spacing w:val="-1"/>
                <w:sz w:val="16"/>
              </w:rPr>
              <w:t>5</w:t>
            </w:r>
            <w:r w:rsidR="00E363DA">
              <w:rPr>
                <w:rFonts w:ascii="Arial"/>
                <w:i/>
                <w:spacing w:val="-1"/>
                <w:sz w:val="16"/>
              </w:rPr>
              <w:t>%</w:t>
            </w:r>
          </w:p>
        </w:tc>
      </w:tr>
      <w:tr w:rsidR="002D3EB0" w:rsidTr="00F161DB">
        <w:trPr>
          <w:trHeight w:hRule="exact" w:val="375"/>
        </w:trPr>
        <w:tc>
          <w:tcPr>
            <w:tcW w:w="2499" w:type="dxa"/>
            <w:tcBorders>
              <w:top w:val="nil"/>
              <w:left w:val="nil"/>
              <w:bottom w:val="single" w:sz="12" w:space="0" w:color="D3E0AD"/>
              <w:right w:val="nil"/>
            </w:tcBorders>
          </w:tcPr>
          <w:p w:rsidR="002D3EB0" w:rsidRPr="00AE0BE6" w:rsidRDefault="00AE0BE6" w:rsidP="007D17CF">
            <w:pPr>
              <w:pStyle w:val="TableParagraph"/>
              <w:spacing w:before="31"/>
              <w:ind w:left="108"/>
              <w:rPr>
                <w:rFonts w:ascii="Arial" w:eastAsia="Arial" w:hAnsi="Arial" w:cs="Arial"/>
                <w:sz w:val="12"/>
                <w:szCs w:val="12"/>
                <w:lang w:val="el-GR"/>
              </w:rPr>
            </w:pPr>
            <w:r w:rsidRPr="00AE0BE6">
              <w:rPr>
                <w:rFonts w:ascii="Arial" w:hAnsi="Arial" w:cs="Arial"/>
                <w:spacing w:val="-1"/>
                <w:sz w:val="14"/>
                <w:szCs w:val="14"/>
                <w:lang w:val="el-GR"/>
              </w:rPr>
              <w:t>Κέρδη δραστηριοτήτων ανά μετοχή (</w:t>
            </w:r>
            <w:r w:rsidRPr="00AE0BE6">
              <w:rPr>
                <w:rFonts w:ascii="Arial" w:hAnsi="Arial" w:cs="Arial"/>
                <w:spacing w:val="-1"/>
                <w:sz w:val="14"/>
                <w:szCs w:val="14"/>
              </w:rPr>
              <w:t>EPS</w:t>
            </w:r>
            <w:r w:rsidRPr="00AE0BE6">
              <w:rPr>
                <w:rFonts w:ascii="Arial" w:hAnsi="Arial" w:cs="Arial"/>
                <w:spacing w:val="-1"/>
                <w:sz w:val="14"/>
                <w:szCs w:val="14"/>
                <w:lang w:val="el-GR"/>
              </w:rPr>
              <w:t>)</w:t>
            </w:r>
            <w:r w:rsidRPr="00AE0BE6">
              <w:rPr>
                <w:rFonts w:ascii="Arial" w:hAnsi="Arial" w:cs="Arial"/>
                <w:spacing w:val="-1"/>
                <w:sz w:val="12"/>
                <w:szCs w:val="12"/>
                <w:lang w:val="el-GR"/>
              </w:rPr>
              <w:t xml:space="preserve"> </w:t>
            </w:r>
            <w:r w:rsidR="00E363DA" w:rsidRPr="00AE0BE6">
              <w:rPr>
                <w:rFonts w:ascii="Arial" w:hAnsi="Arial" w:cs="Arial"/>
                <w:spacing w:val="-1"/>
                <w:position w:val="8"/>
                <w:sz w:val="12"/>
                <w:szCs w:val="12"/>
                <w:vertAlign w:val="superscript"/>
                <w:lang w:val="el-GR"/>
              </w:rPr>
              <w:t>(</w:t>
            </w:r>
            <w:r w:rsidR="007D17CF" w:rsidRPr="007D17CF">
              <w:rPr>
                <w:rFonts w:ascii="Arial" w:hAnsi="Arial" w:cs="Arial"/>
                <w:spacing w:val="-1"/>
                <w:position w:val="8"/>
                <w:sz w:val="12"/>
                <w:szCs w:val="12"/>
                <w:vertAlign w:val="superscript"/>
                <w:lang w:val="el-GR"/>
              </w:rPr>
              <w:t>1</w:t>
            </w:r>
            <w:r w:rsidR="00E363DA" w:rsidRPr="00AE0BE6">
              <w:rPr>
                <w:rFonts w:ascii="Arial" w:hAnsi="Arial" w:cs="Arial"/>
                <w:spacing w:val="-1"/>
                <w:position w:val="8"/>
                <w:sz w:val="12"/>
                <w:szCs w:val="12"/>
                <w:vertAlign w:val="superscript"/>
                <w:lang w:val="el-GR"/>
              </w:rPr>
              <w:t>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12" w:space="0" w:color="D3E0AD"/>
              <w:right w:val="nil"/>
            </w:tcBorders>
            <w:shd w:val="clear" w:color="auto" w:fill="EFE5D2"/>
          </w:tcPr>
          <w:p w:rsidR="002D3EB0" w:rsidRDefault="009D39BC" w:rsidP="007D17CF">
            <w:pPr>
              <w:pStyle w:val="TableParagraph"/>
              <w:spacing w:before="46"/>
              <w:ind w:left="3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€1,</w:t>
            </w:r>
            <w:r w:rsidR="007D17CF">
              <w:rPr>
                <w:rFonts w:ascii="Arial" w:eastAsia="Arial" w:hAnsi="Arial" w:cs="Arial"/>
                <w:spacing w:val="-1"/>
                <w:sz w:val="16"/>
                <w:szCs w:val="16"/>
              </w:rPr>
              <w:t>25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12" w:space="0" w:color="D3E0AD"/>
              <w:right w:val="nil"/>
            </w:tcBorders>
          </w:tcPr>
          <w:p w:rsidR="002D3EB0" w:rsidRDefault="003B687C">
            <w:pPr>
              <w:pStyle w:val="TableParagraph"/>
              <w:spacing w:before="46"/>
              <w:ind w:left="3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i/>
                <w:spacing w:val="-1"/>
                <w:sz w:val="16"/>
              </w:rPr>
              <w:t>-4,6</w:t>
            </w:r>
            <w:r w:rsidR="00E363DA">
              <w:rPr>
                <w:rFonts w:ascii="Arial"/>
                <w:i/>
                <w:spacing w:val="-1"/>
                <w:sz w:val="16"/>
              </w:rPr>
              <w:t>%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12" w:space="0" w:color="D3E0AD"/>
              <w:right w:val="nil"/>
            </w:tcBorders>
          </w:tcPr>
          <w:p w:rsidR="002D3EB0" w:rsidRDefault="003B687C" w:rsidP="003B687C">
            <w:pPr>
              <w:pStyle w:val="TableParagraph"/>
              <w:spacing w:before="46"/>
              <w:ind w:left="5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i/>
                <w:spacing w:val="-1"/>
                <w:sz w:val="16"/>
              </w:rPr>
              <w:t>-1,5</w:t>
            </w:r>
            <w:r w:rsidR="00E363DA">
              <w:rPr>
                <w:rFonts w:ascii="Arial"/>
                <w:i/>
                <w:spacing w:val="-1"/>
                <w:sz w:val="16"/>
              </w:rPr>
              <w:t>%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12" w:space="0" w:color="D3E0AD"/>
              <w:right w:val="nil"/>
            </w:tcBorders>
            <w:shd w:val="clear" w:color="auto" w:fill="EFE5D2"/>
          </w:tcPr>
          <w:p w:rsidR="002D3EB0" w:rsidRDefault="00333DF8" w:rsidP="003B687C">
            <w:pPr>
              <w:pStyle w:val="TableParagraph"/>
              <w:spacing w:before="46"/>
              <w:ind w:right="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€</w:t>
            </w:r>
            <w:r w:rsidR="003B687C">
              <w:rPr>
                <w:rFonts w:ascii="Arial" w:eastAsia="Arial" w:hAnsi="Arial" w:cs="Arial"/>
                <w:spacing w:val="-1"/>
                <w:sz w:val="16"/>
                <w:szCs w:val="16"/>
              </w:rPr>
              <w:t>5,68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12" w:space="0" w:color="D3E0AD"/>
              <w:right w:val="nil"/>
            </w:tcBorders>
          </w:tcPr>
          <w:p w:rsidR="002D3EB0" w:rsidRDefault="00333DF8">
            <w:pPr>
              <w:pStyle w:val="TableParagraph"/>
              <w:spacing w:before="46"/>
              <w:ind w:left="5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i/>
                <w:spacing w:val="-1"/>
                <w:sz w:val="16"/>
              </w:rPr>
              <w:t>+</w:t>
            </w:r>
            <w:r w:rsidR="003B687C">
              <w:rPr>
                <w:rFonts w:ascii="Arial"/>
                <w:i/>
                <w:spacing w:val="-1"/>
                <w:sz w:val="16"/>
              </w:rPr>
              <w:t>0</w:t>
            </w:r>
            <w:r>
              <w:rPr>
                <w:rFonts w:ascii="Arial"/>
                <w:i/>
                <w:spacing w:val="-1"/>
                <w:sz w:val="16"/>
              </w:rPr>
              <w:t>,</w:t>
            </w:r>
            <w:r w:rsidR="003B687C">
              <w:rPr>
                <w:rFonts w:ascii="Arial"/>
                <w:i/>
                <w:spacing w:val="-1"/>
                <w:sz w:val="16"/>
              </w:rPr>
              <w:t>7</w:t>
            </w:r>
            <w:r w:rsidR="00E363DA">
              <w:rPr>
                <w:rFonts w:ascii="Arial"/>
                <w:i/>
                <w:spacing w:val="-1"/>
                <w:sz w:val="16"/>
              </w:rPr>
              <w:t>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D3E0AD"/>
              <w:right w:val="nil"/>
            </w:tcBorders>
          </w:tcPr>
          <w:p w:rsidR="002D3EB0" w:rsidRDefault="003B687C">
            <w:pPr>
              <w:pStyle w:val="TableParagraph"/>
              <w:spacing w:before="46"/>
              <w:ind w:left="6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i/>
                <w:spacing w:val="-1"/>
                <w:sz w:val="16"/>
              </w:rPr>
              <w:t>+4</w:t>
            </w:r>
            <w:r w:rsidR="00333DF8">
              <w:rPr>
                <w:rFonts w:ascii="Arial"/>
                <w:i/>
                <w:spacing w:val="-1"/>
                <w:sz w:val="16"/>
              </w:rPr>
              <w:t>,</w:t>
            </w:r>
            <w:r>
              <w:rPr>
                <w:rFonts w:ascii="Arial"/>
                <w:i/>
                <w:spacing w:val="-1"/>
                <w:sz w:val="16"/>
              </w:rPr>
              <w:t>1</w:t>
            </w:r>
            <w:r w:rsidR="00E363DA">
              <w:rPr>
                <w:rFonts w:ascii="Arial"/>
                <w:i/>
                <w:spacing w:val="-1"/>
                <w:sz w:val="16"/>
              </w:rPr>
              <w:t>%</w:t>
            </w:r>
          </w:p>
        </w:tc>
      </w:tr>
    </w:tbl>
    <w:p w:rsidR="002D3EB0" w:rsidRDefault="002D3EB0">
      <w:pPr>
        <w:spacing w:before="10"/>
        <w:rPr>
          <w:rFonts w:ascii="Arial" w:eastAsia="Arial" w:hAnsi="Arial" w:cs="Arial"/>
          <w:b/>
          <w:bCs/>
          <w:sz w:val="9"/>
          <w:szCs w:val="9"/>
        </w:rPr>
      </w:pPr>
    </w:p>
    <w:tbl>
      <w:tblPr>
        <w:tblStyle w:val="TableNormal1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10958"/>
      </w:tblGrid>
      <w:tr w:rsidR="002D3EB0" w:rsidRPr="0083730B" w:rsidTr="0087762B">
        <w:trPr>
          <w:trHeight w:hRule="exact" w:val="1019"/>
        </w:trPr>
        <w:tc>
          <w:tcPr>
            <w:tcW w:w="10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3EB0" w:rsidRPr="00066EB8" w:rsidRDefault="005D7934" w:rsidP="00021927">
            <w:pPr>
              <w:jc w:val="both"/>
              <w:rPr>
                <w:rFonts w:ascii="Arial" w:eastAsia="Arial" w:hAnsi="Arial" w:cs="Arial"/>
                <w:sz w:val="13"/>
                <w:szCs w:val="13"/>
                <w:highlight w:val="yellow"/>
                <w:lang w:val="el-GR"/>
              </w:rPr>
            </w:pPr>
            <w:r w:rsidRPr="00066EB8">
              <w:rPr>
                <w:rFonts w:ascii="Arial" w:eastAsia="Arial" w:hAnsi="Arial" w:cs="Arial"/>
                <w:i/>
                <w:spacing w:val="-1"/>
                <w:sz w:val="13"/>
                <w:szCs w:val="13"/>
                <w:lang w:val="el-GR"/>
              </w:rPr>
              <w:t>Κατόπιν της ανακοίνωσης των αποκλειστικών διαπραγματεύσεων με τη</w:t>
            </w:r>
            <w:r w:rsidR="00FD49E6">
              <w:rPr>
                <w:rFonts w:ascii="Arial" w:eastAsia="Arial" w:hAnsi="Arial" w:cs="Arial"/>
                <w:i/>
                <w:spacing w:val="-1"/>
                <w:sz w:val="13"/>
                <w:szCs w:val="13"/>
                <w:lang w:val="el-GR"/>
              </w:rPr>
              <w:t>ν</w:t>
            </w:r>
            <w:r w:rsidR="00E363DA" w:rsidRPr="00066EB8">
              <w:rPr>
                <w:rFonts w:ascii="Arial" w:eastAsia="Arial" w:hAnsi="Arial" w:cs="Arial"/>
                <w:i/>
                <w:spacing w:val="11"/>
                <w:sz w:val="13"/>
                <w:szCs w:val="13"/>
                <w:lang w:val="el-GR"/>
              </w:rPr>
              <w:t xml:space="preserve"> </w:t>
            </w:r>
            <w:proofErr w:type="spellStart"/>
            <w:r w:rsidR="00E363DA" w:rsidRPr="00066EB8">
              <w:rPr>
                <w:rFonts w:ascii="Arial" w:eastAsia="Arial" w:hAnsi="Arial" w:cs="Arial"/>
                <w:i/>
                <w:spacing w:val="-1"/>
                <w:sz w:val="13"/>
                <w:szCs w:val="13"/>
              </w:rPr>
              <w:t>Boehringer</w:t>
            </w:r>
            <w:proofErr w:type="spellEnd"/>
            <w:r w:rsidR="00E363DA" w:rsidRPr="00066EB8">
              <w:rPr>
                <w:rFonts w:ascii="Arial" w:eastAsia="Arial" w:hAnsi="Arial" w:cs="Arial"/>
                <w:i/>
                <w:spacing w:val="15"/>
                <w:sz w:val="13"/>
                <w:szCs w:val="13"/>
                <w:lang w:val="el-GR"/>
              </w:rPr>
              <w:t xml:space="preserve"> </w:t>
            </w:r>
            <w:proofErr w:type="spellStart"/>
            <w:r w:rsidR="00E363DA" w:rsidRPr="00066EB8">
              <w:rPr>
                <w:rFonts w:ascii="Arial" w:eastAsia="Arial" w:hAnsi="Arial" w:cs="Arial"/>
                <w:i/>
                <w:spacing w:val="-1"/>
                <w:sz w:val="13"/>
                <w:szCs w:val="13"/>
              </w:rPr>
              <w:t>Ingelheim</w:t>
            </w:r>
            <w:proofErr w:type="spellEnd"/>
            <w:r w:rsidR="00E363DA" w:rsidRPr="00066EB8">
              <w:rPr>
                <w:rFonts w:ascii="Arial" w:eastAsia="Arial" w:hAnsi="Arial" w:cs="Arial"/>
                <w:i/>
                <w:spacing w:val="13"/>
                <w:sz w:val="13"/>
                <w:szCs w:val="13"/>
                <w:lang w:val="el-GR"/>
              </w:rPr>
              <w:t xml:space="preserve"> </w:t>
            </w:r>
            <w:r w:rsidRPr="00066EB8">
              <w:rPr>
                <w:rFonts w:ascii="Arial" w:eastAsia="Arial" w:hAnsi="Arial" w:cs="Arial"/>
                <w:i/>
                <w:spacing w:val="-1"/>
                <w:sz w:val="13"/>
                <w:szCs w:val="13"/>
                <w:lang w:val="el-GR"/>
              </w:rPr>
              <w:t>και σύμφωνα με</w:t>
            </w:r>
            <w:r w:rsidR="00E363DA" w:rsidRPr="00066EB8">
              <w:rPr>
                <w:rFonts w:ascii="Arial" w:eastAsia="Arial" w:hAnsi="Arial" w:cs="Arial"/>
                <w:i/>
                <w:spacing w:val="-1"/>
                <w:sz w:val="13"/>
                <w:szCs w:val="13"/>
                <w:lang w:val="el-GR"/>
              </w:rPr>
              <w:t xml:space="preserve"> </w:t>
            </w:r>
            <w:r w:rsidR="00AE0BE6" w:rsidRPr="00066EB8">
              <w:rPr>
                <w:rFonts w:ascii="Arial" w:eastAsia="Arial" w:hAnsi="Arial" w:cs="Arial"/>
                <w:i/>
                <w:spacing w:val="-1"/>
                <w:sz w:val="13"/>
                <w:szCs w:val="13"/>
                <w:lang w:val="el-GR"/>
              </w:rPr>
              <w:t>την</w:t>
            </w:r>
            <w:r w:rsidR="003226BF" w:rsidRPr="00066EB8">
              <w:rPr>
                <w:rFonts w:ascii="Arial" w:eastAsia="Arial" w:hAnsi="Arial" w:cs="Arial"/>
                <w:i/>
                <w:spacing w:val="-1"/>
                <w:sz w:val="13"/>
                <w:szCs w:val="13"/>
                <w:lang w:val="el-GR"/>
              </w:rPr>
              <w:t xml:space="preserve"> απαίτηση παρουσίασης</w:t>
            </w:r>
            <w:r w:rsidR="003226BF" w:rsidRPr="00066EB8">
              <w:rPr>
                <w:rFonts w:ascii="Arial" w:eastAsia="Arial" w:hAnsi="Arial" w:cs="Arial"/>
                <w:i/>
                <w:spacing w:val="15"/>
                <w:sz w:val="13"/>
                <w:szCs w:val="13"/>
                <w:lang w:val="el-GR"/>
              </w:rPr>
              <w:t xml:space="preserve"> </w:t>
            </w:r>
            <w:r w:rsidR="00AE0BE6" w:rsidRPr="00066EB8">
              <w:rPr>
                <w:rFonts w:ascii="Arial" w:eastAsia="Arial" w:hAnsi="Arial" w:cs="Arial"/>
                <w:i/>
                <w:spacing w:val="-1"/>
                <w:sz w:val="13"/>
                <w:szCs w:val="13"/>
                <w:lang w:val="el-GR"/>
              </w:rPr>
              <w:t xml:space="preserve">για </w:t>
            </w:r>
            <w:r w:rsidR="00021927">
              <w:rPr>
                <w:rFonts w:ascii="Arial" w:eastAsia="Arial" w:hAnsi="Arial" w:cs="Arial"/>
                <w:i/>
                <w:spacing w:val="-1"/>
                <w:sz w:val="13"/>
                <w:szCs w:val="13"/>
                <w:lang w:val="el-GR"/>
              </w:rPr>
              <w:t>μη-συνεχιζόμενες</w:t>
            </w:r>
            <w:r w:rsidR="00AE0BE6" w:rsidRPr="00066EB8">
              <w:rPr>
                <w:rFonts w:ascii="Arial" w:eastAsia="Arial" w:hAnsi="Arial" w:cs="Arial"/>
                <w:i/>
                <w:spacing w:val="-1"/>
                <w:sz w:val="13"/>
                <w:szCs w:val="13"/>
                <w:lang w:val="el-GR"/>
              </w:rPr>
              <w:t xml:space="preserve"> δραστηριότητες</w:t>
            </w:r>
            <w:r w:rsidR="003226BF" w:rsidRPr="00066EB8">
              <w:rPr>
                <w:rFonts w:ascii="Arial" w:eastAsia="Arial" w:hAnsi="Arial" w:cs="Arial"/>
                <w:i/>
                <w:spacing w:val="-1"/>
                <w:sz w:val="13"/>
                <w:szCs w:val="13"/>
                <w:lang w:val="el-GR"/>
              </w:rPr>
              <w:t xml:space="preserve"> βάσει</w:t>
            </w:r>
            <w:r w:rsidR="004F5132" w:rsidRPr="00066EB8">
              <w:rPr>
                <w:rFonts w:ascii="Arial" w:eastAsia="Arial" w:hAnsi="Arial" w:cs="Arial"/>
                <w:i/>
                <w:spacing w:val="-1"/>
                <w:sz w:val="13"/>
                <w:szCs w:val="13"/>
                <w:lang w:val="el-GR"/>
              </w:rPr>
              <w:t xml:space="preserve"> του</w:t>
            </w:r>
            <w:r w:rsidR="003226BF" w:rsidRPr="00066EB8">
              <w:rPr>
                <w:rFonts w:ascii="Arial" w:eastAsia="Arial" w:hAnsi="Arial" w:cs="Arial"/>
                <w:i/>
                <w:spacing w:val="-1"/>
                <w:sz w:val="13"/>
                <w:szCs w:val="13"/>
                <w:lang w:val="el-GR"/>
              </w:rPr>
              <w:t xml:space="preserve"> </w:t>
            </w:r>
            <w:r w:rsidR="003226BF" w:rsidRPr="00066EB8">
              <w:rPr>
                <w:rFonts w:ascii="Arial" w:eastAsia="Arial" w:hAnsi="Arial" w:cs="Arial"/>
                <w:i/>
                <w:spacing w:val="-1"/>
                <w:sz w:val="13"/>
                <w:szCs w:val="13"/>
              </w:rPr>
              <w:t>IFRS</w:t>
            </w:r>
            <w:r w:rsidR="003226BF" w:rsidRPr="00066EB8">
              <w:rPr>
                <w:rFonts w:ascii="Arial" w:eastAsia="Arial" w:hAnsi="Arial" w:cs="Arial"/>
                <w:i/>
                <w:spacing w:val="16"/>
                <w:sz w:val="13"/>
                <w:szCs w:val="13"/>
                <w:lang w:val="el-GR"/>
              </w:rPr>
              <w:t xml:space="preserve"> </w:t>
            </w:r>
            <w:r w:rsidR="003226BF" w:rsidRPr="00066EB8">
              <w:rPr>
                <w:rFonts w:ascii="Arial" w:eastAsia="Arial" w:hAnsi="Arial" w:cs="Arial"/>
                <w:i/>
                <w:sz w:val="13"/>
                <w:szCs w:val="13"/>
                <w:lang w:val="el-GR"/>
              </w:rPr>
              <w:t>5</w:t>
            </w:r>
            <w:r w:rsidR="00E363DA" w:rsidRPr="00066EB8">
              <w:rPr>
                <w:rFonts w:ascii="Arial" w:eastAsia="Arial" w:hAnsi="Arial" w:cs="Arial"/>
                <w:i/>
                <w:spacing w:val="-1"/>
                <w:sz w:val="13"/>
                <w:szCs w:val="13"/>
                <w:lang w:val="el-GR"/>
              </w:rPr>
              <w:t>,</w:t>
            </w:r>
            <w:r w:rsidR="00E363DA" w:rsidRPr="00066EB8">
              <w:rPr>
                <w:rFonts w:ascii="Arial" w:eastAsia="Arial" w:hAnsi="Arial" w:cs="Arial"/>
                <w:i/>
                <w:spacing w:val="22"/>
                <w:sz w:val="13"/>
                <w:szCs w:val="13"/>
                <w:lang w:val="el-GR"/>
              </w:rPr>
              <w:t xml:space="preserve"> </w:t>
            </w:r>
            <w:r w:rsidR="00AE0BE6" w:rsidRPr="00066EB8">
              <w:rPr>
                <w:rFonts w:ascii="Arial" w:eastAsia="Arial" w:hAnsi="Arial" w:cs="Arial"/>
                <w:i/>
                <w:spacing w:val="-2"/>
                <w:sz w:val="13"/>
                <w:szCs w:val="13"/>
                <w:lang w:val="el-GR"/>
              </w:rPr>
              <w:t xml:space="preserve">τα καθαρά έσοδα του Τομέα </w:t>
            </w:r>
            <w:r w:rsidR="004F5132" w:rsidRPr="00066EB8">
              <w:rPr>
                <w:rFonts w:ascii="Arial" w:eastAsia="Arial" w:hAnsi="Arial" w:cs="Arial"/>
                <w:i/>
                <w:spacing w:val="-2"/>
                <w:sz w:val="13"/>
                <w:szCs w:val="13"/>
                <w:lang w:val="el-GR"/>
              </w:rPr>
              <w:t xml:space="preserve">Κτηνιατρικών Προϊόντων </w:t>
            </w:r>
            <w:r w:rsidR="00AE0BE6" w:rsidRPr="00066EB8">
              <w:rPr>
                <w:rFonts w:ascii="Arial" w:eastAsia="Arial" w:hAnsi="Arial" w:cs="Arial"/>
                <w:i/>
                <w:spacing w:val="-2"/>
                <w:sz w:val="13"/>
                <w:szCs w:val="13"/>
                <w:lang w:val="el-GR"/>
              </w:rPr>
              <w:t>της</w:t>
            </w:r>
            <w:r w:rsidR="00E363DA" w:rsidRPr="00066EB8">
              <w:rPr>
                <w:rFonts w:ascii="Arial" w:eastAsia="Arial" w:hAnsi="Arial" w:cs="Arial"/>
                <w:i/>
                <w:spacing w:val="19"/>
                <w:sz w:val="13"/>
                <w:szCs w:val="13"/>
                <w:lang w:val="el-GR"/>
              </w:rPr>
              <w:t xml:space="preserve"> </w:t>
            </w:r>
            <w:r w:rsidR="00E363DA" w:rsidRPr="00066EB8">
              <w:rPr>
                <w:rFonts w:ascii="Arial" w:eastAsia="Arial" w:hAnsi="Arial" w:cs="Arial"/>
                <w:i/>
                <w:spacing w:val="-1"/>
                <w:sz w:val="13"/>
                <w:szCs w:val="13"/>
              </w:rPr>
              <w:t>Sanofi</w:t>
            </w:r>
            <w:r w:rsidR="00E363DA" w:rsidRPr="00066EB8">
              <w:rPr>
                <w:rFonts w:ascii="Arial" w:eastAsia="Arial" w:hAnsi="Arial" w:cs="Arial"/>
                <w:i/>
                <w:spacing w:val="24"/>
                <w:sz w:val="13"/>
                <w:szCs w:val="13"/>
                <w:lang w:val="el-GR"/>
              </w:rPr>
              <w:t xml:space="preserve"> </w:t>
            </w:r>
            <w:r w:rsidR="00E363DA" w:rsidRPr="00066EB8">
              <w:rPr>
                <w:rFonts w:ascii="Arial" w:eastAsia="Arial" w:hAnsi="Arial" w:cs="Arial"/>
                <w:i/>
                <w:spacing w:val="-1"/>
                <w:sz w:val="13"/>
                <w:szCs w:val="13"/>
                <w:lang w:val="el-GR"/>
              </w:rPr>
              <w:t>(</w:t>
            </w:r>
            <w:proofErr w:type="spellStart"/>
            <w:r w:rsidR="00E363DA" w:rsidRPr="00066EB8">
              <w:rPr>
                <w:rFonts w:ascii="Arial" w:eastAsia="Arial" w:hAnsi="Arial" w:cs="Arial"/>
                <w:i/>
                <w:spacing w:val="-1"/>
                <w:sz w:val="13"/>
                <w:szCs w:val="13"/>
              </w:rPr>
              <w:t>Merial</w:t>
            </w:r>
            <w:proofErr w:type="spellEnd"/>
            <w:r w:rsidR="00E363DA" w:rsidRPr="00066EB8">
              <w:rPr>
                <w:rFonts w:ascii="Arial" w:eastAsia="Arial" w:hAnsi="Arial" w:cs="Arial"/>
                <w:i/>
                <w:spacing w:val="-1"/>
                <w:sz w:val="13"/>
                <w:szCs w:val="13"/>
                <w:lang w:val="el-GR"/>
              </w:rPr>
              <w:t>)</w:t>
            </w:r>
            <w:r w:rsidR="00E363DA" w:rsidRPr="00066EB8">
              <w:rPr>
                <w:rFonts w:ascii="Arial" w:eastAsia="Arial" w:hAnsi="Arial" w:cs="Arial"/>
                <w:i/>
                <w:spacing w:val="21"/>
                <w:sz w:val="13"/>
                <w:szCs w:val="13"/>
                <w:lang w:val="el-GR"/>
              </w:rPr>
              <w:t xml:space="preserve"> </w:t>
            </w:r>
            <w:r w:rsidR="00021927">
              <w:rPr>
                <w:rFonts w:ascii="Arial" w:eastAsia="Arial" w:hAnsi="Arial" w:cs="Arial"/>
                <w:i/>
                <w:spacing w:val="21"/>
                <w:sz w:val="13"/>
                <w:szCs w:val="13"/>
                <w:lang w:val="el-GR"/>
              </w:rPr>
              <w:t xml:space="preserve">θα </w:t>
            </w:r>
            <w:r w:rsidR="00EE1961" w:rsidRPr="00066EB8">
              <w:rPr>
                <w:rFonts w:ascii="Arial" w:eastAsia="Arial" w:hAnsi="Arial" w:cs="Arial"/>
                <w:i/>
                <w:sz w:val="13"/>
                <w:szCs w:val="13"/>
                <w:lang w:val="el-GR"/>
              </w:rPr>
              <w:t>δημοσιεύονται</w:t>
            </w:r>
            <w:r w:rsidR="00AE0BE6" w:rsidRPr="00066EB8">
              <w:rPr>
                <w:rFonts w:ascii="Arial" w:eastAsia="Arial" w:hAnsi="Arial" w:cs="Arial"/>
                <w:i/>
                <w:sz w:val="13"/>
                <w:szCs w:val="13"/>
                <w:lang w:val="el-GR"/>
              </w:rPr>
              <w:t xml:space="preserve"> </w:t>
            </w:r>
            <w:r w:rsidR="003226BF" w:rsidRPr="00066EB8">
              <w:rPr>
                <w:rFonts w:ascii="Arial" w:eastAsia="Arial" w:hAnsi="Arial" w:cs="Arial"/>
                <w:i/>
                <w:sz w:val="13"/>
                <w:szCs w:val="13"/>
                <w:lang w:val="el-GR"/>
              </w:rPr>
              <w:t xml:space="preserve">σε ξεχωριστή </w:t>
            </w:r>
            <w:r w:rsidR="009B677C" w:rsidRPr="00066EB8">
              <w:rPr>
                <w:rFonts w:ascii="Arial" w:eastAsia="Arial" w:hAnsi="Arial" w:cs="Arial"/>
                <w:i/>
                <w:sz w:val="13"/>
                <w:szCs w:val="13"/>
                <w:lang w:val="el-GR"/>
              </w:rPr>
              <w:t>γραμμή κατάστασης</w:t>
            </w:r>
            <w:r w:rsidR="00E363DA" w:rsidRPr="00066EB8">
              <w:rPr>
                <w:rFonts w:ascii="Arial" w:eastAsia="Arial" w:hAnsi="Arial" w:cs="Arial"/>
                <w:i/>
                <w:sz w:val="13"/>
                <w:szCs w:val="13"/>
                <w:lang w:val="el-GR"/>
              </w:rPr>
              <w:t xml:space="preserve"> (“</w:t>
            </w:r>
            <w:r w:rsidR="004F5132" w:rsidRPr="00066EB8">
              <w:rPr>
                <w:rFonts w:ascii="Arial" w:eastAsia="Arial" w:hAnsi="Arial" w:cs="Arial"/>
                <w:i/>
                <w:sz w:val="13"/>
                <w:szCs w:val="13"/>
                <w:lang w:val="el-GR"/>
              </w:rPr>
              <w:t xml:space="preserve">Καθαρά Έσοδα από τον προς ανταλλαγή Τομέα Κτηνιατρικών Προϊόντων </w:t>
            </w:r>
            <w:r w:rsidR="00E363DA" w:rsidRPr="00066EB8">
              <w:rPr>
                <w:rFonts w:ascii="Arial" w:eastAsia="Arial" w:hAnsi="Arial" w:cs="Arial"/>
                <w:i/>
                <w:sz w:val="13"/>
                <w:szCs w:val="13"/>
                <w:lang w:val="el-GR"/>
              </w:rPr>
              <w:t xml:space="preserve">”) </w:t>
            </w:r>
            <w:r w:rsidR="004F5132" w:rsidRPr="00066EB8">
              <w:rPr>
                <w:rFonts w:ascii="Arial" w:eastAsia="Arial" w:hAnsi="Arial" w:cs="Arial"/>
                <w:i/>
                <w:sz w:val="13"/>
                <w:szCs w:val="13"/>
                <w:lang w:val="el-GR"/>
              </w:rPr>
              <w:t xml:space="preserve">στην Ενοποιημένη Κατάσταση </w:t>
            </w:r>
            <w:r w:rsidR="009B677C" w:rsidRPr="00066EB8">
              <w:rPr>
                <w:rFonts w:ascii="Arial" w:eastAsia="Arial" w:hAnsi="Arial" w:cs="Arial"/>
                <w:i/>
                <w:sz w:val="13"/>
                <w:szCs w:val="13"/>
                <w:lang w:val="el-GR"/>
              </w:rPr>
              <w:t>Αποτελεσμάτων</w:t>
            </w:r>
            <w:r w:rsidR="00E363DA" w:rsidRPr="00066EB8">
              <w:rPr>
                <w:rFonts w:ascii="Arial" w:eastAsia="Arial" w:hAnsi="Arial" w:cs="Arial"/>
                <w:i/>
                <w:sz w:val="13"/>
                <w:szCs w:val="13"/>
                <w:lang w:val="el-GR"/>
              </w:rPr>
              <w:t xml:space="preserve"> </w:t>
            </w:r>
            <w:r w:rsidR="003226BF" w:rsidRPr="00066EB8">
              <w:rPr>
                <w:rFonts w:ascii="Arial" w:eastAsia="Arial" w:hAnsi="Arial" w:cs="Arial"/>
                <w:i/>
                <w:sz w:val="13"/>
                <w:szCs w:val="13"/>
                <w:lang w:val="el-GR"/>
              </w:rPr>
              <w:t xml:space="preserve">για το </w:t>
            </w:r>
            <w:r w:rsidR="00E363DA" w:rsidRPr="00066EB8">
              <w:rPr>
                <w:rFonts w:ascii="Arial" w:eastAsia="Arial" w:hAnsi="Arial" w:cs="Arial"/>
                <w:i/>
                <w:sz w:val="13"/>
                <w:szCs w:val="13"/>
                <w:lang w:val="el-GR"/>
              </w:rPr>
              <w:t xml:space="preserve">2016 </w:t>
            </w:r>
            <w:r w:rsidR="003226BF" w:rsidRPr="00066EB8">
              <w:rPr>
                <w:rFonts w:ascii="Arial" w:eastAsia="Arial" w:hAnsi="Arial" w:cs="Arial"/>
                <w:i/>
                <w:sz w:val="13"/>
                <w:szCs w:val="13"/>
                <w:lang w:val="el-GR"/>
              </w:rPr>
              <w:t xml:space="preserve">και </w:t>
            </w:r>
            <w:r w:rsidRPr="00066EB8">
              <w:rPr>
                <w:rFonts w:ascii="Arial" w:eastAsia="Arial" w:hAnsi="Arial" w:cs="Arial"/>
                <w:i/>
                <w:sz w:val="13"/>
                <w:szCs w:val="13"/>
                <w:lang w:val="el-GR"/>
              </w:rPr>
              <w:t>το προηγούμενο έτος</w:t>
            </w:r>
            <w:r w:rsidR="00E363DA" w:rsidRPr="00066EB8">
              <w:rPr>
                <w:rFonts w:ascii="Arial" w:eastAsia="Arial" w:hAnsi="Arial" w:cs="Arial"/>
                <w:i/>
                <w:sz w:val="13"/>
                <w:szCs w:val="13"/>
                <w:lang w:val="el-GR"/>
              </w:rPr>
              <w:t xml:space="preserve">. </w:t>
            </w:r>
            <w:r w:rsidR="00021927">
              <w:rPr>
                <w:rFonts w:ascii="Arial" w:eastAsia="Times New Roman" w:hAnsi="Arial" w:cs="Arial"/>
                <w:i/>
                <w:iCs/>
                <w:color w:val="222222"/>
                <w:sz w:val="13"/>
                <w:szCs w:val="13"/>
                <w:lang w:val="el-GR" w:eastAsia="el-GR"/>
              </w:rPr>
              <w:t>Στ</w:t>
            </w:r>
            <w:r w:rsidR="0082350C" w:rsidRPr="00066EB8">
              <w:rPr>
                <w:rFonts w:ascii="Arial" w:eastAsia="Times New Roman" w:hAnsi="Arial" w:cs="Arial"/>
                <w:i/>
                <w:iCs/>
                <w:color w:val="222222"/>
                <w:sz w:val="13"/>
                <w:szCs w:val="13"/>
                <w:lang w:val="el-GR" w:eastAsia="el-GR"/>
              </w:rPr>
              <w:t>α πρώτα τρία τρίμηνα του</w:t>
            </w:r>
            <w:r w:rsidR="00AB2A9E" w:rsidRPr="00FD5CCC">
              <w:rPr>
                <w:rFonts w:ascii="Arial" w:eastAsia="Times New Roman" w:hAnsi="Arial" w:cs="Arial"/>
                <w:i/>
                <w:iCs/>
                <w:color w:val="222222"/>
                <w:sz w:val="13"/>
                <w:szCs w:val="13"/>
                <w:lang w:val="el-GR" w:eastAsia="el-GR"/>
              </w:rPr>
              <w:t xml:space="preserve"> 2016, </w:t>
            </w:r>
            <w:r w:rsidR="00CF100C" w:rsidRPr="00066EB8">
              <w:rPr>
                <w:rFonts w:ascii="Arial" w:eastAsia="Arial" w:hAnsi="Arial" w:cs="Arial"/>
                <w:i/>
                <w:spacing w:val="1"/>
                <w:sz w:val="13"/>
                <w:szCs w:val="13"/>
                <w:lang w:val="el-GR"/>
              </w:rPr>
              <w:t xml:space="preserve">τα σχόλια της </w:t>
            </w:r>
            <w:r w:rsidR="00CF100C" w:rsidRPr="00066EB8">
              <w:rPr>
                <w:rFonts w:ascii="Arial" w:eastAsia="Arial" w:hAnsi="Arial" w:cs="Arial"/>
                <w:i/>
                <w:spacing w:val="1"/>
                <w:sz w:val="13"/>
                <w:szCs w:val="13"/>
              </w:rPr>
              <w:t>Sanofi</w:t>
            </w:r>
            <w:r w:rsidR="00CF100C" w:rsidRPr="00066EB8">
              <w:rPr>
                <w:rFonts w:ascii="Arial" w:eastAsia="Arial" w:hAnsi="Arial" w:cs="Arial"/>
                <w:i/>
                <w:spacing w:val="1"/>
                <w:sz w:val="13"/>
                <w:szCs w:val="13"/>
                <w:lang w:val="el-GR"/>
              </w:rPr>
              <w:t xml:space="preserve"> συμπεριλαμβάνουν τη </w:t>
            </w:r>
            <w:proofErr w:type="spellStart"/>
            <w:r w:rsidR="00CF100C" w:rsidRPr="00066EB8">
              <w:rPr>
                <w:rFonts w:ascii="Arial" w:eastAsia="Arial" w:hAnsi="Arial" w:cs="Arial"/>
                <w:i/>
                <w:spacing w:val="1"/>
                <w:sz w:val="13"/>
                <w:szCs w:val="13"/>
              </w:rPr>
              <w:t>Merial</w:t>
            </w:r>
            <w:proofErr w:type="spellEnd"/>
            <w:r w:rsidR="00CF100C" w:rsidRPr="00066EB8">
              <w:rPr>
                <w:rFonts w:ascii="Arial" w:eastAsia="Arial" w:hAnsi="Arial" w:cs="Arial"/>
                <w:i/>
                <w:spacing w:val="1"/>
                <w:sz w:val="13"/>
                <w:szCs w:val="13"/>
                <w:lang w:val="el-GR"/>
              </w:rPr>
              <w:t xml:space="preserve"> </w:t>
            </w:r>
            <w:r w:rsidR="00FD49E6">
              <w:rPr>
                <w:rFonts w:ascii="Arial" w:eastAsia="Arial" w:hAnsi="Arial" w:cs="Arial"/>
                <w:i/>
                <w:spacing w:val="1"/>
                <w:sz w:val="13"/>
                <w:szCs w:val="13"/>
                <w:lang w:val="el-GR"/>
              </w:rPr>
              <w:t>σε</w:t>
            </w:r>
            <w:r w:rsidR="00CF100C" w:rsidRPr="00066EB8">
              <w:rPr>
                <w:rFonts w:ascii="Arial" w:eastAsia="Arial" w:hAnsi="Arial" w:cs="Arial"/>
                <w:i/>
                <w:spacing w:val="1"/>
                <w:sz w:val="13"/>
                <w:szCs w:val="13"/>
                <w:lang w:val="el-GR"/>
              </w:rPr>
              <w:t xml:space="preserve"> κάθε γραμμή</w:t>
            </w:r>
            <w:r w:rsidR="00021927">
              <w:rPr>
                <w:rFonts w:ascii="Arial" w:eastAsia="Arial" w:hAnsi="Arial" w:cs="Arial"/>
                <w:i/>
                <w:spacing w:val="1"/>
                <w:sz w:val="13"/>
                <w:szCs w:val="13"/>
                <w:lang w:val="el-GR"/>
              </w:rPr>
              <w:t xml:space="preserve"> ενοποιημένης οικονομικής </w:t>
            </w:r>
            <w:r w:rsidR="00CF100C" w:rsidRPr="00066EB8">
              <w:rPr>
                <w:rFonts w:ascii="Arial" w:eastAsia="Arial" w:hAnsi="Arial" w:cs="Arial"/>
                <w:i/>
                <w:spacing w:val="1"/>
                <w:sz w:val="13"/>
                <w:szCs w:val="13"/>
                <w:lang w:val="el-GR"/>
              </w:rPr>
              <w:t>κατάστασης εσόδων που χρησιμοποιεί τον όρο “Σύνολο”.</w:t>
            </w:r>
            <w:r w:rsidR="00AB2A9E" w:rsidRPr="00FD5CCC">
              <w:rPr>
                <w:rFonts w:ascii="Arial" w:eastAsia="Times New Roman" w:hAnsi="Arial" w:cs="Arial"/>
                <w:i/>
                <w:iCs/>
                <w:color w:val="222222"/>
                <w:sz w:val="13"/>
                <w:szCs w:val="13"/>
                <w:lang w:val="el-GR" w:eastAsia="el-GR"/>
              </w:rPr>
              <w:t xml:space="preserve"> </w:t>
            </w:r>
            <w:r w:rsidR="00CF100C" w:rsidRPr="00066EB8">
              <w:rPr>
                <w:rFonts w:ascii="Arial" w:eastAsia="Times New Roman" w:hAnsi="Arial" w:cs="Arial"/>
                <w:i/>
                <w:iCs/>
                <w:color w:val="222222"/>
                <w:sz w:val="13"/>
                <w:szCs w:val="13"/>
                <w:lang w:eastAsia="el-GR"/>
              </w:rPr>
              <w:t>H</w:t>
            </w:r>
            <w:r w:rsidR="00CF100C" w:rsidRPr="00066EB8">
              <w:rPr>
                <w:rFonts w:ascii="Arial" w:eastAsia="Times New Roman" w:hAnsi="Arial" w:cs="Arial"/>
                <w:i/>
                <w:iCs/>
                <w:color w:val="222222"/>
                <w:sz w:val="13"/>
                <w:szCs w:val="13"/>
                <w:lang w:val="el-GR" w:eastAsia="el-GR"/>
              </w:rPr>
              <w:t xml:space="preserve"> </w:t>
            </w:r>
            <w:r w:rsidR="00AB2A9E" w:rsidRPr="00FD5CCC">
              <w:rPr>
                <w:rFonts w:ascii="Arial" w:eastAsia="Times New Roman" w:hAnsi="Arial" w:cs="Arial"/>
                <w:i/>
                <w:iCs/>
                <w:color w:val="222222"/>
                <w:sz w:val="13"/>
                <w:szCs w:val="13"/>
                <w:lang w:eastAsia="el-GR"/>
              </w:rPr>
              <w:t>Sanofi</w:t>
            </w:r>
            <w:r w:rsidR="00AB2A9E" w:rsidRPr="00FD5CCC">
              <w:rPr>
                <w:rFonts w:ascii="Arial" w:eastAsia="Times New Roman" w:hAnsi="Arial" w:cs="Arial"/>
                <w:i/>
                <w:iCs/>
                <w:color w:val="222222"/>
                <w:sz w:val="13"/>
                <w:szCs w:val="13"/>
                <w:lang w:val="el-GR" w:eastAsia="el-GR"/>
              </w:rPr>
              <w:t xml:space="preserve"> </w:t>
            </w:r>
            <w:r w:rsidR="00CF100C" w:rsidRPr="00066EB8">
              <w:rPr>
                <w:rFonts w:ascii="Arial" w:eastAsia="Times New Roman" w:hAnsi="Arial" w:cs="Arial"/>
                <w:i/>
                <w:iCs/>
                <w:color w:val="222222"/>
                <w:sz w:val="13"/>
                <w:szCs w:val="13"/>
                <w:lang w:val="el-GR" w:eastAsia="el-GR"/>
              </w:rPr>
              <w:t>δεν παρουσιάζει</w:t>
            </w:r>
            <w:r w:rsidR="0082350C" w:rsidRPr="00066EB8">
              <w:rPr>
                <w:rFonts w:ascii="Arial" w:eastAsia="Times New Roman" w:hAnsi="Arial" w:cs="Arial"/>
                <w:i/>
                <w:iCs/>
                <w:color w:val="222222"/>
                <w:sz w:val="13"/>
                <w:szCs w:val="13"/>
                <w:lang w:val="el-GR" w:eastAsia="el-GR"/>
              </w:rPr>
              <w:t xml:space="preserve"> </w:t>
            </w:r>
            <w:r w:rsidR="00066EB8" w:rsidRPr="00066EB8">
              <w:rPr>
                <w:rFonts w:ascii="Arial" w:eastAsia="Times New Roman" w:hAnsi="Arial" w:cs="Arial"/>
                <w:i/>
                <w:iCs/>
                <w:color w:val="222222"/>
                <w:sz w:val="13"/>
                <w:szCs w:val="13"/>
                <w:lang w:val="el-GR" w:eastAsia="el-GR"/>
              </w:rPr>
              <w:t xml:space="preserve">στοιχεία </w:t>
            </w:r>
            <w:r w:rsidR="00AB2A9E" w:rsidRPr="00FD5CCC">
              <w:rPr>
                <w:rFonts w:ascii="Arial" w:eastAsia="Times New Roman" w:hAnsi="Arial" w:cs="Arial"/>
                <w:i/>
                <w:iCs/>
                <w:color w:val="222222"/>
                <w:sz w:val="13"/>
                <w:szCs w:val="13"/>
                <w:lang w:val="el-GR" w:eastAsia="el-GR"/>
              </w:rPr>
              <w:t>"</w:t>
            </w:r>
            <w:r w:rsidR="0082350C" w:rsidRPr="00066EB8">
              <w:rPr>
                <w:rFonts w:ascii="Arial" w:eastAsia="Times New Roman" w:hAnsi="Arial" w:cs="Arial"/>
                <w:i/>
                <w:iCs/>
                <w:color w:val="222222"/>
                <w:sz w:val="13"/>
                <w:szCs w:val="13"/>
                <w:lang w:val="el-GR" w:eastAsia="el-GR"/>
              </w:rPr>
              <w:t>Συνόλου</w:t>
            </w:r>
            <w:r w:rsidR="00AB2A9E" w:rsidRPr="00FD5CCC">
              <w:rPr>
                <w:rFonts w:ascii="Arial" w:eastAsia="Times New Roman" w:hAnsi="Arial" w:cs="Arial"/>
                <w:i/>
                <w:iCs/>
                <w:color w:val="222222"/>
                <w:sz w:val="13"/>
                <w:szCs w:val="13"/>
                <w:lang w:val="el-GR" w:eastAsia="el-GR"/>
              </w:rPr>
              <w:t xml:space="preserve">" </w:t>
            </w:r>
            <w:r w:rsidR="00FD49E6">
              <w:rPr>
                <w:rFonts w:ascii="Arial" w:eastAsia="Times New Roman" w:hAnsi="Arial" w:cs="Arial"/>
                <w:i/>
                <w:iCs/>
                <w:color w:val="222222"/>
                <w:sz w:val="13"/>
                <w:szCs w:val="13"/>
                <w:lang w:val="el-GR" w:eastAsia="el-GR"/>
              </w:rPr>
              <w:t>ούτε δημοσιεύ</w:t>
            </w:r>
            <w:r w:rsidR="00066EB8" w:rsidRPr="00066EB8">
              <w:rPr>
                <w:rFonts w:ascii="Arial" w:eastAsia="Times New Roman" w:hAnsi="Arial" w:cs="Arial"/>
                <w:i/>
                <w:iCs/>
                <w:color w:val="222222"/>
                <w:sz w:val="13"/>
                <w:szCs w:val="13"/>
                <w:lang w:val="el-GR" w:eastAsia="el-GR"/>
              </w:rPr>
              <w:t xml:space="preserve">ει στοιχεία για την απόδοση του Κτηνιατρικού Τομέα ως </w:t>
            </w:r>
            <w:proofErr w:type="spellStart"/>
            <w:r w:rsidR="00066EB8" w:rsidRPr="00066EB8">
              <w:rPr>
                <w:rFonts w:ascii="Arial" w:eastAsia="Times New Roman" w:hAnsi="Arial" w:cs="Arial"/>
                <w:i/>
                <w:iCs/>
                <w:color w:val="222222"/>
                <w:sz w:val="13"/>
                <w:szCs w:val="13"/>
                <w:lang w:val="el-GR" w:eastAsia="el-GR"/>
              </w:rPr>
              <w:t>λειτουργι</w:t>
            </w:r>
            <w:r w:rsidR="00021927">
              <w:rPr>
                <w:rFonts w:ascii="Arial" w:eastAsia="Times New Roman" w:hAnsi="Arial" w:cs="Arial"/>
                <w:i/>
                <w:iCs/>
                <w:color w:val="222222"/>
                <w:sz w:val="13"/>
                <w:szCs w:val="13"/>
                <w:lang w:val="el-GR" w:eastAsia="el-GR"/>
              </w:rPr>
              <w:t>ό</w:t>
            </w:r>
            <w:proofErr w:type="spellEnd"/>
            <w:r w:rsidR="00066EB8" w:rsidRPr="00066EB8">
              <w:rPr>
                <w:rFonts w:ascii="Arial" w:eastAsia="Times New Roman" w:hAnsi="Arial" w:cs="Arial"/>
                <w:i/>
                <w:iCs/>
                <w:color w:val="222222"/>
                <w:sz w:val="13"/>
                <w:szCs w:val="13"/>
                <w:lang w:val="el-GR" w:eastAsia="el-GR"/>
              </w:rPr>
              <w:t xml:space="preserve"> τομέα</w:t>
            </w:r>
            <w:r w:rsidR="00AB2A9E" w:rsidRPr="00FD5CCC">
              <w:rPr>
                <w:rFonts w:ascii="Arial" w:eastAsia="Times New Roman" w:hAnsi="Arial" w:cs="Arial"/>
                <w:i/>
                <w:iCs/>
                <w:color w:val="222222"/>
                <w:sz w:val="13"/>
                <w:szCs w:val="13"/>
                <w:lang w:val="el-GR" w:eastAsia="el-GR"/>
              </w:rPr>
              <w:t xml:space="preserve"> </w:t>
            </w:r>
            <w:r w:rsidR="0082350C" w:rsidRPr="00066EB8">
              <w:rPr>
                <w:rFonts w:ascii="Arial" w:eastAsia="Times New Roman" w:hAnsi="Arial" w:cs="Arial"/>
                <w:i/>
                <w:iCs/>
                <w:color w:val="222222"/>
                <w:sz w:val="13"/>
                <w:szCs w:val="13"/>
                <w:lang w:val="el-GR" w:eastAsia="el-GR"/>
              </w:rPr>
              <w:t>για το 4ο τρίμηνο του</w:t>
            </w:r>
            <w:r w:rsidR="00AB2A9E" w:rsidRPr="00FD5CCC">
              <w:rPr>
                <w:rFonts w:ascii="Arial" w:eastAsia="Times New Roman" w:hAnsi="Arial" w:cs="Arial"/>
                <w:i/>
                <w:iCs/>
                <w:color w:val="222222"/>
                <w:sz w:val="13"/>
                <w:szCs w:val="13"/>
                <w:lang w:val="el-GR" w:eastAsia="el-GR"/>
              </w:rPr>
              <w:t xml:space="preserve"> 2016 </w:t>
            </w:r>
            <w:r w:rsidR="0082350C" w:rsidRPr="00066EB8">
              <w:rPr>
                <w:rFonts w:ascii="Arial" w:eastAsia="Times New Roman" w:hAnsi="Arial" w:cs="Arial"/>
                <w:i/>
                <w:iCs/>
                <w:color w:val="222222"/>
                <w:sz w:val="13"/>
                <w:szCs w:val="13"/>
                <w:lang w:val="el-GR" w:eastAsia="el-GR"/>
              </w:rPr>
              <w:t>και για το</w:t>
            </w:r>
            <w:r w:rsidR="00AB2A9E" w:rsidRPr="00FD5CCC">
              <w:rPr>
                <w:rFonts w:ascii="Arial" w:eastAsia="Times New Roman" w:hAnsi="Arial" w:cs="Arial"/>
                <w:i/>
                <w:iCs/>
                <w:color w:val="222222"/>
                <w:sz w:val="13"/>
                <w:szCs w:val="13"/>
                <w:lang w:val="el-GR" w:eastAsia="el-GR"/>
              </w:rPr>
              <w:t xml:space="preserve"> 2016 </w:t>
            </w:r>
            <w:r w:rsidR="00CF100C" w:rsidRPr="00066EB8">
              <w:rPr>
                <w:rFonts w:ascii="Arial" w:eastAsia="Times New Roman" w:hAnsi="Arial" w:cs="Arial"/>
                <w:i/>
                <w:iCs/>
                <w:color w:val="222222"/>
                <w:sz w:val="13"/>
                <w:szCs w:val="13"/>
                <w:lang w:val="el-GR" w:eastAsia="el-GR"/>
              </w:rPr>
              <w:t xml:space="preserve">λόγω της ολοκλήρωσης της ανταλλαγής </w:t>
            </w:r>
            <w:r w:rsidR="00021927">
              <w:rPr>
                <w:rFonts w:ascii="Arial" w:eastAsia="Times New Roman" w:hAnsi="Arial" w:cs="Arial"/>
                <w:i/>
                <w:iCs/>
                <w:color w:val="222222"/>
                <w:sz w:val="13"/>
                <w:szCs w:val="13"/>
                <w:lang w:val="el-GR" w:eastAsia="el-GR"/>
              </w:rPr>
              <w:t>του</w:t>
            </w:r>
            <w:r w:rsidR="0082350C" w:rsidRPr="00066EB8">
              <w:rPr>
                <w:rFonts w:ascii="Arial" w:eastAsia="Times New Roman" w:hAnsi="Arial" w:cs="Arial"/>
                <w:i/>
                <w:iCs/>
                <w:color w:val="222222"/>
                <w:sz w:val="13"/>
                <w:szCs w:val="13"/>
                <w:lang w:val="el-GR" w:eastAsia="el-GR"/>
              </w:rPr>
              <w:t xml:space="preserve"> Κτηνιατρικού Τομέα</w:t>
            </w:r>
            <w:r w:rsidR="00021927">
              <w:rPr>
                <w:rFonts w:ascii="Arial" w:eastAsia="Times New Roman" w:hAnsi="Arial" w:cs="Arial"/>
                <w:i/>
                <w:iCs/>
                <w:color w:val="222222"/>
                <w:sz w:val="13"/>
                <w:szCs w:val="13"/>
                <w:lang w:val="el-GR" w:eastAsia="el-GR"/>
              </w:rPr>
              <w:t xml:space="preserve"> με τον </w:t>
            </w:r>
            <w:r w:rsidR="0082350C" w:rsidRPr="00066EB8">
              <w:rPr>
                <w:rFonts w:ascii="Arial" w:eastAsia="Times New Roman" w:hAnsi="Arial" w:cs="Arial"/>
                <w:i/>
                <w:iCs/>
                <w:color w:val="222222"/>
                <w:sz w:val="13"/>
                <w:szCs w:val="13"/>
                <w:lang w:val="el-GR" w:eastAsia="el-GR"/>
              </w:rPr>
              <w:t xml:space="preserve">Τομέα Καταναλωτικών Προϊόντων Υγείας </w:t>
            </w:r>
            <w:r w:rsidR="00021927">
              <w:rPr>
                <w:rFonts w:ascii="Arial" w:eastAsia="Times New Roman" w:hAnsi="Arial" w:cs="Arial"/>
                <w:i/>
                <w:iCs/>
                <w:color w:val="222222"/>
                <w:sz w:val="13"/>
                <w:szCs w:val="13"/>
                <w:lang w:val="el-GR" w:eastAsia="el-GR"/>
              </w:rPr>
              <w:t>της</w:t>
            </w:r>
            <w:r w:rsidR="0082350C" w:rsidRPr="00066EB8">
              <w:rPr>
                <w:rFonts w:ascii="Arial" w:eastAsia="Times New Roman" w:hAnsi="Arial" w:cs="Arial"/>
                <w:i/>
                <w:iCs/>
                <w:color w:val="222222"/>
                <w:sz w:val="13"/>
                <w:szCs w:val="13"/>
                <w:lang w:val="el-GR" w:eastAsia="el-GR"/>
              </w:rPr>
              <w:t xml:space="preserve"> </w:t>
            </w:r>
            <w:proofErr w:type="spellStart"/>
            <w:r w:rsidR="00AB2A9E" w:rsidRPr="00FD5CCC">
              <w:rPr>
                <w:rFonts w:ascii="Arial" w:eastAsia="Times New Roman" w:hAnsi="Arial" w:cs="Arial"/>
                <w:i/>
                <w:iCs/>
                <w:color w:val="222222"/>
                <w:sz w:val="13"/>
                <w:szCs w:val="13"/>
                <w:lang w:eastAsia="el-GR"/>
              </w:rPr>
              <w:t>Boehringer</w:t>
            </w:r>
            <w:proofErr w:type="spellEnd"/>
            <w:r w:rsidR="00AB2A9E" w:rsidRPr="00FD5CCC">
              <w:rPr>
                <w:rFonts w:ascii="Arial" w:eastAsia="Times New Roman" w:hAnsi="Arial" w:cs="Arial"/>
                <w:i/>
                <w:iCs/>
                <w:color w:val="222222"/>
                <w:sz w:val="13"/>
                <w:szCs w:val="13"/>
                <w:lang w:val="el-GR" w:eastAsia="el-GR"/>
              </w:rPr>
              <w:t xml:space="preserve"> </w:t>
            </w:r>
            <w:proofErr w:type="spellStart"/>
            <w:r w:rsidR="00AB2A9E" w:rsidRPr="00FD5CCC">
              <w:rPr>
                <w:rFonts w:ascii="Arial" w:eastAsia="Times New Roman" w:hAnsi="Arial" w:cs="Arial"/>
                <w:i/>
                <w:iCs/>
                <w:color w:val="222222"/>
                <w:sz w:val="13"/>
                <w:szCs w:val="13"/>
                <w:lang w:eastAsia="el-GR"/>
              </w:rPr>
              <w:t>Ingelheim</w:t>
            </w:r>
            <w:proofErr w:type="spellEnd"/>
            <w:r w:rsidR="00CF100C" w:rsidRPr="00066EB8">
              <w:rPr>
                <w:rFonts w:ascii="Arial" w:eastAsia="Times New Roman" w:hAnsi="Arial" w:cs="Arial"/>
                <w:i/>
                <w:iCs/>
                <w:color w:val="222222"/>
                <w:sz w:val="13"/>
                <w:szCs w:val="13"/>
                <w:lang w:val="el-GR" w:eastAsia="el-GR"/>
              </w:rPr>
              <w:t xml:space="preserve"> στις αρχές του 2017</w:t>
            </w:r>
            <w:r w:rsidR="00AB2A9E" w:rsidRPr="00FD5CCC">
              <w:rPr>
                <w:rFonts w:ascii="Arial" w:eastAsia="Times New Roman" w:hAnsi="Arial" w:cs="Arial"/>
                <w:i/>
                <w:iCs/>
                <w:color w:val="222222"/>
                <w:sz w:val="13"/>
                <w:szCs w:val="13"/>
                <w:lang w:val="el-GR" w:eastAsia="el-GR"/>
              </w:rPr>
              <w:t xml:space="preserve">. </w:t>
            </w:r>
            <w:r w:rsidR="0082350C" w:rsidRPr="00066EB8">
              <w:rPr>
                <w:rFonts w:ascii="Arial" w:eastAsia="Times New Roman" w:hAnsi="Arial" w:cs="Arial"/>
                <w:i/>
                <w:iCs/>
                <w:color w:val="222222"/>
                <w:sz w:val="13"/>
                <w:szCs w:val="13"/>
                <w:lang w:val="el-GR" w:eastAsia="el-GR"/>
              </w:rPr>
              <w:t xml:space="preserve">Οι καθαρές πωλήσεις για το </w:t>
            </w:r>
            <w:r w:rsidR="00AB2A9E" w:rsidRPr="00FD5CCC">
              <w:rPr>
                <w:rFonts w:ascii="Arial" w:eastAsia="Times New Roman" w:hAnsi="Arial" w:cs="Arial"/>
                <w:i/>
                <w:iCs/>
                <w:color w:val="222222"/>
                <w:sz w:val="13"/>
                <w:szCs w:val="13"/>
                <w:lang w:val="el-GR" w:eastAsia="el-GR"/>
              </w:rPr>
              <w:t>2016</w:t>
            </w:r>
            <w:r w:rsidR="0082350C" w:rsidRPr="00066EB8">
              <w:rPr>
                <w:rFonts w:ascii="Arial" w:eastAsia="Times New Roman" w:hAnsi="Arial" w:cs="Arial"/>
                <w:i/>
                <w:iCs/>
                <w:color w:val="222222"/>
                <w:sz w:val="13"/>
                <w:szCs w:val="13"/>
                <w:lang w:val="el-GR" w:eastAsia="el-GR"/>
              </w:rPr>
              <w:t>, συμπεριλαμβανομένου του Κτηνιατρικού Τομέα</w:t>
            </w:r>
            <w:r w:rsidR="00AB2A9E" w:rsidRPr="00FD5CCC">
              <w:rPr>
                <w:rFonts w:ascii="Arial" w:eastAsia="Times New Roman" w:hAnsi="Arial" w:cs="Arial"/>
                <w:i/>
                <w:iCs/>
                <w:color w:val="222222"/>
                <w:sz w:val="13"/>
                <w:szCs w:val="13"/>
                <w:vertAlign w:val="superscript"/>
                <w:lang w:val="el-GR" w:eastAsia="el-GR"/>
              </w:rPr>
              <w:t>(3)</w:t>
            </w:r>
            <w:r w:rsidR="00FD49E6">
              <w:rPr>
                <w:rFonts w:ascii="Arial" w:eastAsia="Times New Roman" w:hAnsi="Arial" w:cs="Arial"/>
                <w:i/>
                <w:iCs/>
                <w:color w:val="222222"/>
                <w:sz w:val="13"/>
                <w:szCs w:val="13"/>
                <w:lang w:val="el-GR" w:eastAsia="el-GR"/>
              </w:rPr>
              <w:t xml:space="preserve">, </w:t>
            </w:r>
            <w:r w:rsidR="0082350C" w:rsidRPr="00066EB8">
              <w:rPr>
                <w:rFonts w:ascii="Arial" w:eastAsia="Times New Roman" w:hAnsi="Arial" w:cs="Arial"/>
                <w:i/>
                <w:iCs/>
                <w:color w:val="222222"/>
                <w:sz w:val="13"/>
                <w:szCs w:val="13"/>
                <w:lang w:val="el-GR" w:eastAsia="el-GR"/>
              </w:rPr>
              <w:t>ήταν €36.</w:t>
            </w:r>
            <w:r w:rsidR="00AB2A9E" w:rsidRPr="00FD5CCC">
              <w:rPr>
                <w:rFonts w:ascii="Arial" w:eastAsia="Times New Roman" w:hAnsi="Arial" w:cs="Arial"/>
                <w:i/>
                <w:iCs/>
                <w:color w:val="222222"/>
                <w:sz w:val="13"/>
                <w:szCs w:val="13"/>
                <w:lang w:val="el-GR" w:eastAsia="el-GR"/>
              </w:rPr>
              <w:t>529</w:t>
            </w:r>
            <w:r w:rsidR="0082350C" w:rsidRPr="00066EB8">
              <w:rPr>
                <w:rFonts w:ascii="Arial" w:eastAsia="Times New Roman" w:hAnsi="Arial" w:cs="Arial"/>
                <w:i/>
                <w:iCs/>
                <w:color w:val="222222"/>
                <w:sz w:val="13"/>
                <w:szCs w:val="13"/>
                <w:lang w:val="el-GR" w:eastAsia="el-GR"/>
              </w:rPr>
              <w:t>εκ</w:t>
            </w:r>
            <w:r w:rsidR="00021927">
              <w:rPr>
                <w:rFonts w:ascii="Arial" w:eastAsia="Times New Roman" w:hAnsi="Arial" w:cs="Arial"/>
                <w:i/>
                <w:iCs/>
                <w:color w:val="222222"/>
                <w:sz w:val="13"/>
                <w:szCs w:val="13"/>
                <w:lang w:val="el-GR" w:eastAsia="el-GR"/>
              </w:rPr>
              <w:t>.</w:t>
            </w:r>
            <w:r w:rsidR="0082350C" w:rsidRPr="00066EB8">
              <w:rPr>
                <w:rFonts w:ascii="Arial" w:eastAsia="Times New Roman" w:hAnsi="Arial" w:cs="Arial"/>
                <w:i/>
                <w:iCs/>
                <w:color w:val="222222"/>
                <w:sz w:val="13"/>
                <w:szCs w:val="13"/>
                <w:lang w:val="el-GR" w:eastAsia="el-GR"/>
              </w:rPr>
              <w:t>, εκ των οποίων</w:t>
            </w:r>
            <w:r w:rsidR="00066EB8" w:rsidRPr="00066EB8">
              <w:rPr>
                <w:rFonts w:ascii="Arial" w:eastAsia="Times New Roman" w:hAnsi="Arial" w:cs="Arial"/>
                <w:i/>
                <w:iCs/>
                <w:color w:val="222222"/>
                <w:sz w:val="13"/>
                <w:szCs w:val="13"/>
                <w:lang w:val="el-GR" w:eastAsia="el-GR"/>
              </w:rPr>
              <w:t xml:space="preserve"> €9.466εκ</w:t>
            </w:r>
            <w:r w:rsidR="0082350C" w:rsidRPr="00066EB8">
              <w:rPr>
                <w:rFonts w:ascii="Arial" w:eastAsia="Times New Roman" w:hAnsi="Arial" w:cs="Arial"/>
                <w:i/>
                <w:iCs/>
                <w:color w:val="222222"/>
                <w:sz w:val="13"/>
                <w:szCs w:val="13"/>
                <w:lang w:val="el-GR" w:eastAsia="el-GR"/>
              </w:rPr>
              <w:t xml:space="preserve">. καταγράφονται το </w:t>
            </w:r>
            <w:r w:rsidR="00066EB8" w:rsidRPr="00066EB8">
              <w:rPr>
                <w:rFonts w:ascii="Arial" w:eastAsia="Times New Roman" w:hAnsi="Arial" w:cs="Arial"/>
                <w:i/>
                <w:iCs/>
                <w:color w:val="222222"/>
                <w:sz w:val="13"/>
                <w:szCs w:val="13"/>
                <w:lang w:val="el-GR" w:eastAsia="el-GR"/>
              </w:rPr>
              <w:t>4ο</w:t>
            </w:r>
            <w:r w:rsidR="0082350C" w:rsidRPr="00066EB8">
              <w:rPr>
                <w:rFonts w:ascii="Arial" w:eastAsia="Times New Roman" w:hAnsi="Arial" w:cs="Arial"/>
                <w:i/>
                <w:iCs/>
                <w:color w:val="222222"/>
                <w:sz w:val="13"/>
                <w:szCs w:val="13"/>
                <w:lang w:val="el-GR" w:eastAsia="el-GR"/>
              </w:rPr>
              <w:t xml:space="preserve"> τρίμηνο του</w:t>
            </w:r>
            <w:r w:rsidR="00AB2A9E" w:rsidRPr="00FD5CCC">
              <w:rPr>
                <w:rFonts w:ascii="Arial" w:eastAsia="Times New Roman" w:hAnsi="Arial" w:cs="Arial"/>
                <w:i/>
                <w:iCs/>
                <w:color w:val="222222"/>
                <w:sz w:val="13"/>
                <w:szCs w:val="13"/>
                <w:lang w:val="el-GR" w:eastAsia="el-GR"/>
              </w:rPr>
              <w:t xml:space="preserve"> 2016</w:t>
            </w:r>
            <w:r w:rsidR="0087762B" w:rsidRPr="00066EB8">
              <w:rPr>
                <w:rFonts w:ascii="Arial" w:eastAsia="Times New Roman" w:hAnsi="Arial" w:cs="Arial"/>
                <w:i/>
                <w:iCs/>
                <w:color w:val="222222"/>
                <w:sz w:val="13"/>
                <w:szCs w:val="13"/>
                <w:lang w:val="el-GR" w:eastAsia="el-GR"/>
              </w:rPr>
              <w:t>.</w:t>
            </w:r>
          </w:p>
        </w:tc>
      </w:tr>
      <w:tr w:rsidR="002D3EB0" w:rsidRPr="0083730B" w:rsidTr="0087762B">
        <w:trPr>
          <w:trHeight w:hRule="exact" w:val="92"/>
        </w:trPr>
        <w:tc>
          <w:tcPr>
            <w:tcW w:w="10958" w:type="dxa"/>
            <w:tcBorders>
              <w:top w:val="single" w:sz="5" w:space="0" w:color="000000"/>
              <w:left w:val="nil"/>
              <w:bottom w:val="single" w:sz="12" w:space="0" w:color="909ED2"/>
              <w:right w:val="nil"/>
            </w:tcBorders>
          </w:tcPr>
          <w:p w:rsidR="002D3EB0" w:rsidRDefault="002D3EB0">
            <w:pPr>
              <w:rPr>
                <w:sz w:val="14"/>
                <w:szCs w:val="14"/>
                <w:highlight w:val="yellow"/>
                <w:lang w:val="el-GR"/>
              </w:rPr>
            </w:pPr>
          </w:p>
          <w:p w:rsidR="00A55EE0" w:rsidRDefault="00A55EE0">
            <w:pPr>
              <w:rPr>
                <w:sz w:val="14"/>
                <w:szCs w:val="14"/>
                <w:highlight w:val="yellow"/>
                <w:lang w:val="el-GR"/>
              </w:rPr>
            </w:pPr>
          </w:p>
          <w:p w:rsidR="00A55EE0" w:rsidRDefault="00A55EE0">
            <w:pPr>
              <w:rPr>
                <w:sz w:val="14"/>
                <w:szCs w:val="14"/>
                <w:highlight w:val="yellow"/>
                <w:lang w:val="el-GR"/>
              </w:rPr>
            </w:pPr>
          </w:p>
          <w:p w:rsidR="00A55EE0" w:rsidRDefault="00A55EE0">
            <w:pPr>
              <w:rPr>
                <w:sz w:val="14"/>
                <w:szCs w:val="14"/>
                <w:highlight w:val="yellow"/>
                <w:lang w:val="el-GR"/>
              </w:rPr>
            </w:pPr>
          </w:p>
          <w:p w:rsidR="00A55EE0" w:rsidRPr="0082350C" w:rsidRDefault="00A55EE0">
            <w:pPr>
              <w:rPr>
                <w:sz w:val="14"/>
                <w:szCs w:val="14"/>
                <w:highlight w:val="yellow"/>
                <w:lang w:val="el-GR"/>
              </w:rPr>
            </w:pPr>
          </w:p>
        </w:tc>
      </w:tr>
      <w:tr w:rsidR="0087762B" w:rsidRPr="0083730B" w:rsidTr="0087762B">
        <w:trPr>
          <w:trHeight w:hRule="exact" w:val="92"/>
        </w:trPr>
        <w:tc>
          <w:tcPr>
            <w:tcW w:w="10958" w:type="dxa"/>
            <w:tcBorders>
              <w:top w:val="single" w:sz="5" w:space="0" w:color="000000"/>
              <w:left w:val="nil"/>
              <w:bottom w:val="single" w:sz="12" w:space="0" w:color="909ED2"/>
              <w:right w:val="nil"/>
            </w:tcBorders>
          </w:tcPr>
          <w:p w:rsidR="0087762B" w:rsidRPr="0082350C" w:rsidRDefault="0087762B">
            <w:pPr>
              <w:rPr>
                <w:highlight w:val="yellow"/>
                <w:lang w:val="el-GR"/>
              </w:rPr>
            </w:pPr>
          </w:p>
        </w:tc>
      </w:tr>
      <w:tr w:rsidR="002D3EB0" w:rsidRPr="0083730B" w:rsidTr="00694490">
        <w:trPr>
          <w:trHeight w:hRule="exact" w:val="8995"/>
        </w:trPr>
        <w:tc>
          <w:tcPr>
            <w:tcW w:w="10958" w:type="dxa"/>
            <w:tcBorders>
              <w:top w:val="single" w:sz="12" w:space="0" w:color="909ED2"/>
              <w:left w:val="single" w:sz="12" w:space="0" w:color="909ED2"/>
              <w:bottom w:val="single" w:sz="12" w:space="0" w:color="909ED2"/>
              <w:right w:val="single" w:sz="12" w:space="0" w:color="909ED2"/>
            </w:tcBorders>
          </w:tcPr>
          <w:p w:rsidR="00AD767A" w:rsidRPr="00DB034F" w:rsidRDefault="00976F9C" w:rsidP="00AD767A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el-GR" w:eastAsia="el-GR"/>
              </w:rPr>
              <w:t xml:space="preserve">Θετικές επιδόσεις για όλες τις Παγκόσμιες </w:t>
            </w:r>
            <w:r w:rsidRPr="00976F9C">
              <w:rPr>
                <w:rFonts w:ascii="Arial" w:eastAsia="Times New Roman" w:hAnsi="Arial" w:cs="Arial"/>
                <w:b/>
                <w:bCs/>
                <w:sz w:val="17"/>
                <w:szCs w:val="17"/>
                <w:lang w:val="el-GR" w:eastAsia="el-GR"/>
              </w:rPr>
              <w:t xml:space="preserve">Επιχειρησιακές Μονάδες </w:t>
            </w:r>
            <w:r w:rsidR="00B67BB3" w:rsidRPr="00976F9C">
              <w:rPr>
                <w:rFonts w:ascii="Arial" w:eastAsia="Times New Roman" w:hAnsi="Arial" w:cs="Arial"/>
                <w:b/>
                <w:bCs/>
                <w:sz w:val="17"/>
                <w:szCs w:val="17"/>
                <w:lang w:val="el-GR" w:eastAsia="el-GR"/>
              </w:rPr>
              <w:t>κατά</w:t>
            </w:r>
            <w:r w:rsidR="00B67BB3" w:rsidRPr="00DB034F">
              <w:rPr>
                <w:rFonts w:ascii="Arial" w:eastAsia="Times New Roman" w:hAnsi="Arial" w:cs="Arial"/>
                <w:b/>
                <w:bCs/>
                <w:sz w:val="17"/>
                <w:szCs w:val="17"/>
                <w:lang w:val="el-GR" w:eastAsia="el-GR"/>
              </w:rPr>
              <w:t xml:space="preserve"> το τέταρτο τρίμηνο του</w:t>
            </w:r>
            <w:r w:rsidR="00AD767A" w:rsidRPr="00DB034F">
              <w:rPr>
                <w:rFonts w:ascii="Arial" w:eastAsia="Times New Roman" w:hAnsi="Arial" w:cs="Arial"/>
                <w:b/>
                <w:bCs/>
                <w:sz w:val="17"/>
                <w:szCs w:val="17"/>
                <w:lang w:val="el-GR" w:eastAsia="el-GR"/>
              </w:rPr>
              <w:t xml:space="preserve"> 2016</w:t>
            </w:r>
          </w:p>
          <w:p w:rsidR="002D3EB0" w:rsidRPr="00DB034F" w:rsidRDefault="005D7934" w:rsidP="00C12FE4">
            <w:pPr>
              <w:pStyle w:val="ListParagraph"/>
              <w:numPr>
                <w:ilvl w:val="0"/>
                <w:numId w:val="15"/>
              </w:numPr>
              <w:tabs>
                <w:tab w:val="left" w:pos="431"/>
              </w:tabs>
              <w:rPr>
                <w:rFonts w:ascii="Arial" w:eastAsia="Arial" w:hAnsi="Arial" w:cs="Arial"/>
                <w:spacing w:val="-1"/>
                <w:sz w:val="17"/>
                <w:szCs w:val="17"/>
                <w:lang w:val="el-GR"/>
              </w:rPr>
            </w:pPr>
            <w:r w:rsidRPr="00DB034F">
              <w:rPr>
                <w:rFonts w:ascii="Arial" w:eastAsia="Arial" w:hAnsi="Arial" w:cs="Arial"/>
                <w:spacing w:val="-1"/>
                <w:sz w:val="17"/>
                <w:szCs w:val="17"/>
                <w:lang w:val="el-GR"/>
              </w:rPr>
              <w:t xml:space="preserve">Οι </w:t>
            </w:r>
            <w:r w:rsidR="00AD767A" w:rsidRPr="00DB034F">
              <w:rPr>
                <w:rFonts w:ascii="Arial" w:eastAsia="Arial" w:hAnsi="Arial" w:cs="Arial"/>
                <w:spacing w:val="-1"/>
                <w:sz w:val="17"/>
                <w:szCs w:val="17"/>
                <w:lang w:val="el-GR"/>
              </w:rPr>
              <w:t>καθαρές πωλήσεις ανήλθαν σε €8.867 εκατομμύρια, σημειώνοντας αύξηση</w:t>
            </w:r>
            <w:r w:rsidR="00E363DA" w:rsidRPr="00DB034F">
              <w:rPr>
                <w:rFonts w:ascii="Arial" w:eastAsia="Arial" w:hAnsi="Arial" w:cs="Arial"/>
                <w:spacing w:val="-1"/>
                <w:sz w:val="17"/>
                <w:szCs w:val="17"/>
                <w:lang w:val="el-GR"/>
              </w:rPr>
              <w:t xml:space="preserve"> </w:t>
            </w:r>
            <w:r w:rsidR="009D39BC" w:rsidRPr="00DB034F">
              <w:rPr>
                <w:rFonts w:ascii="Arial" w:eastAsia="Arial" w:hAnsi="Arial" w:cs="Arial"/>
                <w:spacing w:val="-1"/>
                <w:sz w:val="17"/>
                <w:szCs w:val="17"/>
                <w:lang w:val="el-GR"/>
              </w:rPr>
              <w:t>3,</w:t>
            </w:r>
            <w:r w:rsidR="00AD767A" w:rsidRPr="00DB034F">
              <w:rPr>
                <w:rFonts w:ascii="Arial" w:eastAsia="Arial" w:hAnsi="Arial" w:cs="Arial"/>
                <w:spacing w:val="-1"/>
                <w:sz w:val="17"/>
                <w:szCs w:val="17"/>
                <w:lang w:val="el-GR"/>
              </w:rPr>
              <w:t>3</w:t>
            </w:r>
            <w:r w:rsidR="00E363DA" w:rsidRPr="00DB034F">
              <w:rPr>
                <w:rFonts w:ascii="Arial" w:eastAsia="Arial" w:hAnsi="Arial" w:cs="Arial"/>
                <w:spacing w:val="-1"/>
                <w:sz w:val="17"/>
                <w:szCs w:val="17"/>
                <w:lang w:val="el-GR"/>
              </w:rPr>
              <w:t>%</w:t>
            </w:r>
            <w:r w:rsidR="00AD767A" w:rsidRPr="00DB034F">
              <w:rPr>
                <w:rFonts w:ascii="Arial" w:eastAsia="Arial" w:hAnsi="Arial" w:cs="Arial"/>
                <w:spacing w:val="-1"/>
                <w:sz w:val="17"/>
                <w:szCs w:val="17"/>
                <w:lang w:val="el-GR"/>
              </w:rPr>
              <w:t xml:space="preserve"> σύμφωνα με τα δημοσιευμένα στοιχεία</w:t>
            </w:r>
            <w:r w:rsidR="00AD767A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 </w:t>
            </w:r>
            <w:r w:rsidR="00E363DA" w:rsidRPr="00DB034F">
              <w:rPr>
                <w:rFonts w:ascii="Arial" w:eastAsia="Arial" w:hAnsi="Arial" w:cs="Arial"/>
                <w:spacing w:val="-1"/>
                <w:sz w:val="17"/>
                <w:szCs w:val="17"/>
                <w:lang w:val="el-GR"/>
              </w:rPr>
              <w:t>(</w:t>
            </w:r>
            <w:r w:rsidR="00A30EF1" w:rsidRPr="00DB034F">
              <w:rPr>
                <w:rFonts w:ascii="Arial" w:eastAsia="Arial" w:hAnsi="Arial" w:cs="Arial"/>
                <w:spacing w:val="-1"/>
                <w:sz w:val="17"/>
                <w:szCs w:val="17"/>
                <w:lang w:val="el-GR"/>
              </w:rPr>
              <w:t>αύξηση κατά</w:t>
            </w:r>
            <w:r w:rsidR="00E363DA" w:rsidRPr="00DB034F">
              <w:rPr>
                <w:rFonts w:ascii="Arial" w:eastAsia="Arial" w:hAnsi="Arial" w:cs="Arial"/>
                <w:spacing w:val="-1"/>
                <w:sz w:val="17"/>
                <w:szCs w:val="17"/>
                <w:lang w:val="el-GR"/>
              </w:rPr>
              <w:t xml:space="preserve"> </w:t>
            </w:r>
            <w:r w:rsidR="00AD767A" w:rsidRPr="00DB034F">
              <w:rPr>
                <w:rFonts w:ascii="Arial" w:eastAsia="Arial" w:hAnsi="Arial" w:cs="Arial"/>
                <w:spacing w:val="-1"/>
                <w:sz w:val="17"/>
                <w:szCs w:val="17"/>
                <w:lang w:val="el-GR"/>
              </w:rPr>
              <w:t>3</w:t>
            </w:r>
            <w:r w:rsidR="00333DF8" w:rsidRPr="00DB034F">
              <w:rPr>
                <w:rFonts w:ascii="Arial" w:eastAsia="Arial" w:hAnsi="Arial" w:cs="Arial"/>
                <w:spacing w:val="-1"/>
                <w:sz w:val="17"/>
                <w:szCs w:val="17"/>
                <w:lang w:val="el-GR"/>
              </w:rPr>
              <w:t>,</w:t>
            </w:r>
            <w:r w:rsidR="00AD767A" w:rsidRPr="00DB034F">
              <w:rPr>
                <w:rFonts w:ascii="Arial" w:eastAsia="Arial" w:hAnsi="Arial" w:cs="Arial"/>
                <w:spacing w:val="-1"/>
                <w:sz w:val="17"/>
                <w:szCs w:val="17"/>
                <w:lang w:val="el-GR"/>
              </w:rPr>
              <w:t>4</w:t>
            </w:r>
            <w:r w:rsidR="00E363DA" w:rsidRPr="00DB034F">
              <w:rPr>
                <w:rFonts w:ascii="Arial" w:eastAsia="Arial" w:hAnsi="Arial" w:cs="Arial"/>
                <w:spacing w:val="-1"/>
                <w:sz w:val="17"/>
                <w:szCs w:val="17"/>
                <w:lang w:val="el-GR"/>
              </w:rPr>
              <w:t xml:space="preserve">% </w:t>
            </w:r>
            <w:r w:rsidR="00333DF8" w:rsidRPr="00DB034F">
              <w:rPr>
                <w:rFonts w:ascii="Arial" w:eastAsia="Arial" w:hAnsi="Arial" w:cs="Arial"/>
                <w:spacing w:val="-1"/>
                <w:sz w:val="17"/>
                <w:szCs w:val="17"/>
                <w:lang w:val="el-GR"/>
              </w:rPr>
              <w:t xml:space="preserve">σε </w:t>
            </w:r>
            <w:r w:rsidR="00A408C1" w:rsidRPr="00DB034F">
              <w:rPr>
                <w:rFonts w:ascii="Arial" w:eastAsia="Arial" w:hAnsi="Arial" w:cs="Arial"/>
                <w:spacing w:val="-1"/>
                <w:sz w:val="17"/>
                <w:szCs w:val="17"/>
                <w:lang w:val="el-GR"/>
              </w:rPr>
              <w:t xml:space="preserve">σταθερές </w:t>
            </w:r>
            <w:r w:rsidR="00333DF8" w:rsidRPr="00DB034F">
              <w:rPr>
                <w:rFonts w:ascii="Arial" w:eastAsia="Arial" w:hAnsi="Arial" w:cs="Arial"/>
                <w:spacing w:val="-1"/>
                <w:sz w:val="17"/>
                <w:szCs w:val="17"/>
                <w:lang w:val="el-GR"/>
              </w:rPr>
              <w:t>τιμές συναλλάγματος</w:t>
            </w:r>
            <w:r w:rsidR="00E363DA" w:rsidRPr="00DB034F">
              <w:rPr>
                <w:rFonts w:ascii="Arial" w:eastAsia="Arial" w:hAnsi="Arial" w:cs="Arial"/>
                <w:spacing w:val="-1"/>
                <w:sz w:val="17"/>
                <w:szCs w:val="17"/>
                <w:lang w:val="el-GR"/>
              </w:rPr>
              <w:t>).</w:t>
            </w:r>
          </w:p>
          <w:p w:rsidR="00C12FE4" w:rsidRPr="00DB034F" w:rsidRDefault="0039763B" w:rsidP="00C12FE4">
            <w:pPr>
              <w:widowControl/>
              <w:numPr>
                <w:ilvl w:val="0"/>
                <w:numId w:val="15"/>
              </w:numPr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</w:pPr>
            <w:r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Η Παγκόσμια Επιχειρησιακή Μονάδα Ειδικής Φροντίδας 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Sanofi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 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Genzyme</w:t>
            </w:r>
            <w:r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 κατέγραψε αύξηση 12,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6% </w:t>
            </w:r>
            <w:r w:rsidR="00B67BB3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χάρη στα προϊόντα τη</w:t>
            </w:r>
            <w:r w:rsidR="00021927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ς</w:t>
            </w:r>
            <w:r w:rsidR="00B67BB3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 πολλαπλή</w:t>
            </w:r>
            <w:r w:rsidR="00021927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ς</w:t>
            </w:r>
            <w:r w:rsidR="00B67BB3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 σκλήρυνση</w:t>
            </w:r>
            <w:r w:rsidR="00021927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ς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.</w:t>
            </w:r>
          </w:p>
          <w:p w:rsidR="00C12FE4" w:rsidRPr="00DB034F" w:rsidRDefault="0039763B" w:rsidP="00C12FE4">
            <w:pPr>
              <w:widowControl/>
              <w:numPr>
                <w:ilvl w:val="0"/>
                <w:numId w:val="15"/>
              </w:numPr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</w:pPr>
            <w:r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Η Παγκόσμια Επιχειρησιακή Μονάδα 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Sanofi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 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Pasteur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 </w:t>
            </w:r>
            <w:r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σημείωσε αύξηση 3,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7% </w:t>
            </w:r>
            <w:r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λόγω των ισχυρών </w:t>
            </w:r>
            <w:r w:rsidR="00B67BB3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πωλήσεων </w:t>
            </w:r>
            <w:r w:rsidR="00021927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των </w:t>
            </w:r>
            <w:r w:rsidR="0040655C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παιδιατρικών εμβολίων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.</w:t>
            </w:r>
          </w:p>
          <w:p w:rsidR="00C12FE4" w:rsidRPr="00DB034F" w:rsidRDefault="0039763B" w:rsidP="00C12FE4">
            <w:pPr>
              <w:widowControl/>
              <w:numPr>
                <w:ilvl w:val="0"/>
                <w:numId w:val="15"/>
              </w:numPr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</w:pPr>
            <w:r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Οι πωλήσεις της Παγκόσμιας Επιχειρησιακής Μονάδας Διαβήτη και Καρδιαγγειακών Νοσημάτων αυξήθηκαν κατά 3,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8%. </w:t>
            </w:r>
            <w:r w:rsidR="00B67BB3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Οι παγκόσμιες πωλήσεις του τομέα διαβήτη αυξήθηκαν κατά 1,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9%.</w:t>
            </w:r>
          </w:p>
          <w:p w:rsidR="00C12FE4" w:rsidRPr="00DB034F" w:rsidRDefault="00C12FE4" w:rsidP="00C12FE4">
            <w:pPr>
              <w:tabs>
                <w:tab w:val="left" w:pos="431"/>
              </w:tabs>
              <w:rPr>
                <w:rFonts w:ascii="Arial" w:eastAsia="Arial" w:hAnsi="Arial" w:cs="Arial"/>
                <w:spacing w:val="-1"/>
                <w:sz w:val="17"/>
                <w:szCs w:val="17"/>
                <w:highlight w:val="yellow"/>
                <w:lang w:val="el-GR"/>
              </w:rPr>
            </w:pPr>
          </w:p>
          <w:p w:rsidR="00C12FE4" w:rsidRPr="00DB034F" w:rsidRDefault="00021927" w:rsidP="00C12FE4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el-GR" w:eastAsia="el-GR"/>
              </w:rPr>
              <w:t>Υποστήριξη</w:t>
            </w:r>
            <w:r w:rsidR="00B67BB3" w:rsidRPr="00DB034F">
              <w:rPr>
                <w:rFonts w:ascii="Arial" w:eastAsia="Times New Roman" w:hAnsi="Arial" w:cs="Arial"/>
                <w:b/>
                <w:bCs/>
                <w:sz w:val="17"/>
                <w:szCs w:val="17"/>
                <w:lang w:val="el-GR" w:eastAsia="el-GR"/>
              </w:rPr>
              <w:t xml:space="preserve"> των πωλήσεων</w:t>
            </w:r>
            <w:r w:rsidR="0039763B" w:rsidRPr="00DB034F">
              <w:rPr>
                <w:rFonts w:ascii="Arial" w:eastAsia="Times New Roman" w:hAnsi="Arial" w:cs="Arial"/>
                <w:b/>
                <w:bCs/>
                <w:sz w:val="17"/>
                <w:szCs w:val="17"/>
                <w:lang w:val="el-GR" w:eastAsia="el-GR"/>
              </w:rPr>
              <w:t xml:space="preserve"> το </w:t>
            </w:r>
            <w:r w:rsidR="00B67BB3" w:rsidRPr="00DB034F">
              <w:rPr>
                <w:rFonts w:ascii="Arial" w:eastAsia="Times New Roman" w:hAnsi="Arial" w:cs="Arial"/>
                <w:b/>
                <w:bCs/>
                <w:sz w:val="17"/>
                <w:szCs w:val="17"/>
                <w:lang w:val="el-GR" w:eastAsia="el-GR"/>
              </w:rPr>
              <w:t xml:space="preserve">2016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el-GR" w:eastAsia="el-GR"/>
              </w:rPr>
              <w:t xml:space="preserve">από τις Μονάδες </w:t>
            </w:r>
            <w:r w:rsidR="00B67BB3" w:rsidRPr="00DB034F">
              <w:rPr>
                <w:rFonts w:ascii="Arial" w:eastAsia="Times New Roman" w:hAnsi="Arial" w:cs="Arial"/>
                <w:b/>
                <w:bCs/>
                <w:sz w:val="17"/>
                <w:szCs w:val="17"/>
                <w:lang w:val="el-GR" w:eastAsia="el-GR"/>
              </w:rPr>
              <w:t>Ειδική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el-GR" w:eastAsia="el-GR"/>
              </w:rPr>
              <w:t>ς</w:t>
            </w:r>
            <w:r w:rsidR="00B67BB3" w:rsidRPr="00DB034F">
              <w:rPr>
                <w:rFonts w:ascii="Arial" w:eastAsia="Times New Roman" w:hAnsi="Arial" w:cs="Arial"/>
                <w:b/>
                <w:bCs/>
                <w:sz w:val="17"/>
                <w:szCs w:val="17"/>
                <w:lang w:val="el-GR" w:eastAsia="el-GR"/>
              </w:rPr>
              <w:t xml:space="preserve"> Φροντίδα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el-GR" w:eastAsia="el-GR"/>
              </w:rPr>
              <w:t>ς και Εμβολίων</w:t>
            </w:r>
          </w:p>
          <w:p w:rsidR="00C12FE4" w:rsidRPr="00DB034F" w:rsidRDefault="0039763B" w:rsidP="00C12FE4">
            <w:pPr>
              <w:widowControl/>
              <w:numPr>
                <w:ilvl w:val="0"/>
                <w:numId w:val="17"/>
              </w:numPr>
              <w:ind w:left="945"/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</w:pPr>
            <w:r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Οι καθαρές πωλήσεις το 2016 ανήλθαν σε €33.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821</w:t>
            </w:r>
            <w:r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 εκατομμύρια, καταγράφοντας μείωση κατά 0,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7% </w:t>
            </w:r>
            <w:r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σύμφωνα με τα δημοσιευμένα στοιχεία και αύξηση 1,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2% </w:t>
            </w:r>
            <w:r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σε σταθερές τιμές συναλλάγματος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.</w:t>
            </w:r>
          </w:p>
          <w:p w:rsidR="00C12FE4" w:rsidRPr="00DB034F" w:rsidRDefault="0039763B" w:rsidP="00C12FE4">
            <w:pPr>
              <w:widowControl/>
              <w:numPr>
                <w:ilvl w:val="0"/>
                <w:numId w:val="17"/>
              </w:numPr>
              <w:ind w:left="945"/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</w:pPr>
            <w:r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Οι πωλήσεις της 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Sanofi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 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Genzyme</w:t>
            </w:r>
            <w:r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 ανήλθαν σε €5.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019</w:t>
            </w:r>
            <w:r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 εκατομμύρια, σημειώνοντας αύξηση κατά 17,3%, ενώ οι πωλήσεις της 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Sanofi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 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Pasteur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 </w:t>
            </w:r>
            <w:r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αυξήθηκαν κατά 8,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8% </w:t>
            </w:r>
            <w:r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σε €4.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577 </w:t>
            </w:r>
            <w:r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εκατομμύρια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.</w:t>
            </w:r>
          </w:p>
          <w:p w:rsidR="00C12FE4" w:rsidRPr="00DB034F" w:rsidRDefault="00E65808" w:rsidP="00C12FE4">
            <w:pPr>
              <w:widowControl/>
              <w:numPr>
                <w:ilvl w:val="0"/>
                <w:numId w:val="17"/>
              </w:numPr>
              <w:ind w:left="945"/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</w:pPr>
            <w:r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Οι πωλήσεις </w:t>
            </w:r>
            <w:r w:rsidR="0039763B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της επιχειρησιακής μονάδας Αναδυόμενων Αγορών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vertAlign w:val="superscript"/>
                <w:lang w:val="el-GR" w:eastAsia="el-GR"/>
              </w:rPr>
              <w:t>(4)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αυξήθηκαν κατά 2,4% αγγίζοντας </w:t>
            </w:r>
            <w:r w:rsidR="0039763B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τα </w:t>
            </w:r>
            <w:r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€9.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593 </w:t>
            </w:r>
            <w:r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εκατομμύρια (αύξηση κατά 7,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0% </w:t>
            </w:r>
            <w:r w:rsidR="0039763B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με εξαίρεση</w:t>
            </w:r>
            <w:r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 τη Βενεζουέλα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).</w:t>
            </w:r>
          </w:p>
          <w:p w:rsidR="00C12FE4" w:rsidRPr="00DB034F" w:rsidRDefault="00C12FE4" w:rsidP="00C12FE4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el-GR" w:eastAsia="el-GR"/>
              </w:rPr>
            </w:pPr>
            <w:r w:rsidRPr="00DB034F">
              <w:rPr>
                <w:rFonts w:ascii="Arial" w:eastAsia="Times New Roman" w:hAnsi="Arial" w:cs="Arial"/>
                <w:b/>
                <w:bCs/>
                <w:sz w:val="17"/>
                <w:szCs w:val="17"/>
                <w:lang w:val="el-GR" w:eastAsia="el-GR"/>
              </w:rPr>
              <w:br/>
            </w:r>
            <w:r w:rsidR="00E65808" w:rsidRPr="00DB034F">
              <w:rPr>
                <w:rFonts w:ascii="Arial" w:eastAsia="Times New Roman" w:hAnsi="Arial" w:cs="Arial"/>
                <w:b/>
                <w:bCs/>
                <w:sz w:val="17"/>
                <w:szCs w:val="17"/>
                <w:lang w:val="el-GR" w:eastAsia="el-GR"/>
              </w:rPr>
              <w:t>Ισ</w:t>
            </w:r>
            <w:r w:rsidR="00976F9C">
              <w:rPr>
                <w:rFonts w:ascii="Arial" w:eastAsia="Times New Roman" w:hAnsi="Arial" w:cs="Arial"/>
                <w:b/>
                <w:bCs/>
                <w:sz w:val="17"/>
                <w:szCs w:val="17"/>
                <w:lang w:val="el-GR" w:eastAsia="el-GR"/>
              </w:rPr>
              <w:t xml:space="preserve">χυρά οικονομικά αποτελέσματα </w:t>
            </w:r>
            <w:r w:rsidR="00E65808" w:rsidRPr="00DB034F">
              <w:rPr>
                <w:rFonts w:ascii="Arial" w:eastAsia="Times New Roman" w:hAnsi="Arial" w:cs="Arial"/>
                <w:b/>
                <w:bCs/>
                <w:sz w:val="17"/>
                <w:szCs w:val="17"/>
                <w:lang w:val="el-GR" w:eastAsia="el-GR"/>
              </w:rPr>
              <w:t xml:space="preserve">το </w:t>
            </w:r>
            <w:r w:rsidRPr="00DB034F">
              <w:rPr>
                <w:rFonts w:ascii="Arial" w:eastAsia="Times New Roman" w:hAnsi="Arial" w:cs="Arial"/>
                <w:b/>
                <w:bCs/>
                <w:sz w:val="17"/>
                <w:szCs w:val="17"/>
                <w:lang w:val="el-GR" w:eastAsia="el-GR"/>
              </w:rPr>
              <w:t xml:space="preserve">2016 </w:t>
            </w:r>
            <w:r w:rsidR="00021927" w:rsidRPr="00DB034F">
              <w:rPr>
                <w:rFonts w:ascii="Arial" w:eastAsia="Times New Roman" w:hAnsi="Arial" w:cs="Arial"/>
                <w:b/>
                <w:bCs/>
                <w:sz w:val="17"/>
                <w:szCs w:val="17"/>
                <w:lang w:val="el-GR" w:eastAsia="el-GR"/>
              </w:rPr>
              <w:t xml:space="preserve">χάρη στην εξοικονόμηση δαπανών </w:t>
            </w:r>
            <w:r w:rsidR="00021927">
              <w:rPr>
                <w:rFonts w:ascii="Arial" w:eastAsia="Times New Roman" w:hAnsi="Arial" w:cs="Arial"/>
                <w:b/>
                <w:bCs/>
                <w:sz w:val="17"/>
                <w:szCs w:val="17"/>
                <w:lang w:val="el-GR" w:eastAsia="el-GR"/>
              </w:rPr>
              <w:t>και ενώ έγιναν</w:t>
            </w:r>
            <w:r w:rsidR="0083730B">
              <w:rPr>
                <w:rFonts w:ascii="Arial" w:eastAsia="Times New Roman" w:hAnsi="Arial" w:cs="Arial"/>
                <w:b/>
                <w:bCs/>
                <w:sz w:val="17"/>
                <w:szCs w:val="17"/>
                <w:lang w:val="el-GR" w:eastAsia="el-GR"/>
              </w:rPr>
              <w:t xml:space="preserve"> επενδύσεις για την</w:t>
            </w:r>
            <w:r w:rsidR="00E65808" w:rsidRPr="00DB034F">
              <w:rPr>
                <w:rFonts w:ascii="Arial" w:eastAsia="Times New Roman" w:hAnsi="Arial" w:cs="Arial"/>
                <w:b/>
                <w:bCs/>
                <w:sz w:val="17"/>
                <w:szCs w:val="17"/>
                <w:lang w:val="el-GR" w:eastAsia="el-GR"/>
              </w:rPr>
              <w:t xml:space="preserve"> κυκλοφορία </w:t>
            </w:r>
            <w:r w:rsidR="00C95120" w:rsidRPr="00DB034F">
              <w:rPr>
                <w:rFonts w:ascii="Arial" w:eastAsia="Times New Roman" w:hAnsi="Arial" w:cs="Arial"/>
                <w:b/>
                <w:bCs/>
                <w:sz w:val="17"/>
                <w:szCs w:val="17"/>
                <w:lang w:val="el-GR" w:eastAsia="el-GR"/>
              </w:rPr>
              <w:t xml:space="preserve">νέων </w:t>
            </w:r>
            <w:r w:rsidR="00021927">
              <w:rPr>
                <w:rFonts w:ascii="Arial" w:eastAsia="Times New Roman" w:hAnsi="Arial" w:cs="Arial"/>
                <w:b/>
                <w:bCs/>
                <w:sz w:val="17"/>
                <w:szCs w:val="17"/>
                <w:lang w:val="el-GR" w:eastAsia="el-GR"/>
              </w:rPr>
              <w:t>προϊόντων</w:t>
            </w:r>
          </w:p>
          <w:p w:rsidR="00C12FE4" w:rsidRPr="00DB034F" w:rsidRDefault="003D3185" w:rsidP="00C12FE4">
            <w:pPr>
              <w:widowControl/>
              <w:numPr>
                <w:ilvl w:val="0"/>
                <w:numId w:val="18"/>
              </w:numPr>
              <w:ind w:left="945"/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</w:pPr>
            <w:r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Τα </w:t>
            </w:r>
            <w:r w:rsidR="0039763B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καθαρά </w:t>
            </w:r>
            <w:r w:rsidR="00C12FE4" w:rsidRPr="00DB034F">
              <w:rPr>
                <w:rFonts w:ascii="Arial" w:eastAsia="Arial" w:hAnsi="Arial" w:cs="Arial"/>
                <w:spacing w:val="-1"/>
                <w:sz w:val="17"/>
                <w:szCs w:val="17"/>
                <w:lang w:val="el-GR"/>
              </w:rPr>
              <w:t>κέρδη δραστηριοτήτων ανά μετοχή</w:t>
            </w:r>
            <w:r w:rsidR="00C12FE4" w:rsidRPr="00DB034F">
              <w:rPr>
                <w:rFonts w:ascii="Arial" w:eastAsia="Arial" w:hAnsi="Arial" w:cs="Arial"/>
                <w:spacing w:val="-4"/>
                <w:sz w:val="17"/>
                <w:szCs w:val="17"/>
                <w:lang w:val="el-GR"/>
              </w:rPr>
              <w:t xml:space="preserve"> (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EPS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)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vertAlign w:val="superscript"/>
                <w:lang w:val="el-GR" w:eastAsia="el-GR"/>
              </w:rPr>
              <w:t>(1)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για το 2016 ανήλθαν σε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 €5,68 (4,1% </w:t>
            </w:r>
            <w:r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σε σταθερές τιμές συναλλάγματος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) και </w:t>
            </w:r>
            <w:r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τα 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κέρδη ανά μετοχή βάσει 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IFRS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 </w:t>
            </w:r>
            <w:r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ανήλθαν σε 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€3,66 (11,6% σύμφωνα με τα δημοσιευμένα στοιχεία).</w:t>
            </w:r>
          </w:p>
          <w:p w:rsidR="00C12FE4" w:rsidRPr="00DB034F" w:rsidRDefault="003D3185" w:rsidP="00C12FE4">
            <w:pPr>
              <w:widowControl/>
              <w:numPr>
                <w:ilvl w:val="0"/>
                <w:numId w:val="18"/>
              </w:numPr>
              <w:ind w:left="945"/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</w:pPr>
            <w:r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Τα </w:t>
            </w:r>
            <w:r w:rsidR="00976F9C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καθαρά </w:t>
            </w:r>
            <w:r w:rsidRPr="00DB034F">
              <w:rPr>
                <w:rFonts w:ascii="Arial" w:eastAsia="Arial" w:hAnsi="Arial" w:cs="Arial"/>
                <w:spacing w:val="-1"/>
                <w:sz w:val="17"/>
                <w:szCs w:val="17"/>
                <w:lang w:val="el-GR"/>
              </w:rPr>
              <w:t>κέρδη δραστηριοτήτων ανά μετοχή</w:t>
            </w:r>
            <w:r w:rsidRPr="00DB034F">
              <w:rPr>
                <w:rFonts w:ascii="Arial" w:eastAsia="Arial" w:hAnsi="Arial" w:cs="Arial"/>
                <w:spacing w:val="-4"/>
                <w:sz w:val="17"/>
                <w:szCs w:val="17"/>
                <w:lang w:val="el-GR"/>
              </w:rPr>
              <w:t xml:space="preserve"> για το 4ο τρίμηνο του 2016 ήταν</w:t>
            </w:r>
            <w:r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 €1,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25, </w:t>
            </w:r>
            <w:r w:rsidR="00021927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καταγράφοντας μείωση </w:t>
            </w:r>
            <w:r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1,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5% </w:t>
            </w:r>
            <w:r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σε σταθερές τιμές συναλλάγματος, </w:t>
            </w:r>
            <w:r w:rsidR="0040655C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εξαιτίας της μη ευνοϊκής σύγκρισης φορολογικών συντελεστών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.</w:t>
            </w:r>
          </w:p>
          <w:p w:rsidR="003D3185" w:rsidRPr="00DB034F" w:rsidRDefault="0039763B" w:rsidP="00C12FE4">
            <w:pPr>
              <w:widowControl/>
              <w:numPr>
                <w:ilvl w:val="0"/>
                <w:numId w:val="18"/>
              </w:numPr>
              <w:ind w:left="945"/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</w:pPr>
            <w:r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Τα λειτουργικά έσοδα δραστηριοτήτων για το </w:t>
            </w:r>
            <w:r w:rsidRPr="00DB034F">
              <w:rPr>
                <w:rFonts w:ascii="Arial" w:eastAsia="Arial" w:hAnsi="Arial" w:cs="Arial"/>
                <w:spacing w:val="-4"/>
                <w:sz w:val="17"/>
                <w:szCs w:val="17"/>
                <w:lang w:val="el-GR"/>
              </w:rPr>
              <w:t xml:space="preserve">4ο τρίμηνο του 2016 </w:t>
            </w:r>
            <w:r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αυ</w:t>
            </w:r>
            <w:r w:rsidR="003D3185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ξήθηκαν κατά 3,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7% </w:t>
            </w:r>
            <w:r w:rsidR="003D3185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σε σταθερές τιμές συναλλάγματος</w:t>
            </w:r>
            <w:r w:rsidR="00C325CC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.</w:t>
            </w:r>
            <w:bookmarkStart w:id="0" w:name="_GoBack"/>
            <w:bookmarkEnd w:id="0"/>
          </w:p>
          <w:p w:rsidR="00C12FE4" w:rsidRPr="00DB034F" w:rsidRDefault="003D3185" w:rsidP="00C12FE4">
            <w:pPr>
              <w:widowControl/>
              <w:numPr>
                <w:ilvl w:val="0"/>
                <w:numId w:val="18"/>
              </w:numPr>
              <w:ind w:left="945"/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</w:pPr>
            <w:r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Το διοικητικό συμβούλιο προτείνει μέρισμα €2,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96, </w:t>
            </w:r>
            <w:r w:rsidR="00021927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ετήσια αύξηση </w:t>
            </w:r>
            <w:r w:rsidR="00021927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που παρατηρείται για 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23</w:t>
            </w:r>
            <w:r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η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συνεχόμενη</w:t>
            </w:r>
            <w:r w:rsidR="00021927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 χρονιά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.</w:t>
            </w:r>
          </w:p>
          <w:p w:rsidR="00C12FE4" w:rsidRPr="00DB034F" w:rsidRDefault="00C12FE4" w:rsidP="001C70EC">
            <w:pPr>
              <w:pStyle w:val="TableParagraph"/>
              <w:ind w:left="71"/>
              <w:rPr>
                <w:rFonts w:ascii="Arial" w:hAnsi="Arial" w:cs="Arial"/>
                <w:b/>
                <w:sz w:val="17"/>
                <w:szCs w:val="17"/>
                <w:lang w:val="el-GR"/>
              </w:rPr>
            </w:pPr>
          </w:p>
          <w:p w:rsidR="00C12FE4" w:rsidRPr="00DB034F" w:rsidRDefault="003D3185" w:rsidP="00C12FE4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el-GR" w:eastAsia="el-GR"/>
              </w:rPr>
            </w:pPr>
            <w:r w:rsidRPr="00DB034F">
              <w:rPr>
                <w:rFonts w:ascii="Arial" w:eastAsia="Times New Roman" w:hAnsi="Arial" w:cs="Arial"/>
                <w:b/>
                <w:bCs/>
                <w:sz w:val="17"/>
                <w:szCs w:val="17"/>
                <w:lang w:val="el-GR" w:eastAsia="el-GR"/>
              </w:rPr>
              <w:t xml:space="preserve">Η </w:t>
            </w:r>
            <w:r w:rsidR="0039763B" w:rsidRPr="00DB034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>Sanofi</w:t>
            </w:r>
            <w:r w:rsidR="0039763B" w:rsidRPr="00DB034F">
              <w:rPr>
                <w:rFonts w:ascii="Arial" w:eastAsia="Times New Roman" w:hAnsi="Arial" w:cs="Arial"/>
                <w:b/>
                <w:bCs/>
                <w:sz w:val="17"/>
                <w:szCs w:val="17"/>
                <w:lang w:val="el-GR" w:eastAsia="el-GR"/>
              </w:rPr>
              <w:t xml:space="preserve"> σημειώνει πρόοδο στην </w:t>
            </w:r>
            <w:r w:rsidR="00976F9C">
              <w:rPr>
                <w:rFonts w:ascii="Arial" w:eastAsia="Times New Roman" w:hAnsi="Arial" w:cs="Arial"/>
                <w:b/>
                <w:bCs/>
                <w:sz w:val="17"/>
                <w:szCs w:val="17"/>
                <w:lang w:val="el-GR" w:eastAsia="el-GR"/>
              </w:rPr>
              <w:t>προώθηση</w:t>
            </w:r>
            <w:r w:rsidR="0039763B" w:rsidRPr="00DB034F">
              <w:rPr>
                <w:rFonts w:ascii="Arial" w:eastAsia="Times New Roman" w:hAnsi="Arial" w:cs="Arial"/>
                <w:b/>
                <w:bCs/>
                <w:sz w:val="17"/>
                <w:szCs w:val="17"/>
                <w:lang w:val="el-GR" w:eastAsia="el-GR"/>
              </w:rPr>
              <w:t xml:space="preserve"> των στρατηγικών προτεραιοτήτων της</w:t>
            </w:r>
          </w:p>
          <w:p w:rsidR="00C12FE4" w:rsidRPr="00DB034F" w:rsidRDefault="00DC033A" w:rsidP="00C12FE4">
            <w:pPr>
              <w:widowControl/>
              <w:numPr>
                <w:ilvl w:val="0"/>
                <w:numId w:val="19"/>
              </w:numPr>
              <w:ind w:left="945"/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</w:pPr>
            <w:r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Η ολοκλήρωση της ανταλλαγής δραστηριοτήτων με την </w:t>
            </w:r>
            <w:proofErr w:type="spellStart"/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Boehringer</w:t>
            </w:r>
            <w:proofErr w:type="spellEnd"/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 </w:t>
            </w:r>
            <w:proofErr w:type="spellStart"/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Ingelheim</w:t>
            </w:r>
            <w:proofErr w:type="spellEnd"/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 (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BI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) </w:t>
            </w:r>
            <w:r w:rsidR="00963B20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τοποθετεί τη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 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Sanofi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 </w:t>
            </w:r>
            <w:r w:rsidR="00963B20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σε παγκόσμια ηγετική θέση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 </w:t>
            </w:r>
            <w:r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στον τομέα των Καταναλωτικών Προϊόντων Υγείας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.</w:t>
            </w:r>
          </w:p>
          <w:p w:rsidR="00C12FE4" w:rsidRPr="00DB034F" w:rsidRDefault="00286A32" w:rsidP="00C12FE4">
            <w:pPr>
              <w:widowControl/>
              <w:numPr>
                <w:ilvl w:val="0"/>
                <w:numId w:val="19"/>
              </w:numPr>
              <w:ind w:left="945"/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</w:pPr>
            <w:proofErr w:type="spellStart"/>
            <w:r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Λύεται</w:t>
            </w:r>
            <w:proofErr w:type="spellEnd"/>
            <w:r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 η κοινοπραξία εμβολίων της </w:t>
            </w:r>
            <w:r w:rsidR="00DC033A" w:rsidRPr="00DB034F">
              <w:rPr>
                <w:rFonts w:ascii="Arial" w:eastAsia="Times New Roman" w:hAnsi="Arial" w:cs="Arial"/>
                <w:sz w:val="17"/>
                <w:szCs w:val="17"/>
                <w:lang w:val="en-GB" w:eastAsia="el-GR"/>
              </w:rPr>
              <w:t>Sanofi</w:t>
            </w:r>
            <w:r w:rsidR="00DC033A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 </w:t>
            </w:r>
            <w:r w:rsidR="00DC033A" w:rsidRPr="00DB034F">
              <w:rPr>
                <w:rFonts w:ascii="Arial" w:eastAsia="Times New Roman" w:hAnsi="Arial" w:cs="Arial"/>
                <w:sz w:val="17"/>
                <w:szCs w:val="17"/>
                <w:lang w:val="en-GB" w:eastAsia="el-GR"/>
              </w:rPr>
              <w:t>Pasteur</w:t>
            </w:r>
            <w:r w:rsidR="00DC033A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 και </w:t>
            </w:r>
            <w:r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της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 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n-GB" w:eastAsia="el-GR"/>
              </w:rPr>
              <w:t>MSD</w:t>
            </w:r>
            <w:r w:rsidR="00853664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 και η καθεμία θα</w:t>
            </w:r>
            <w:r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 εφαρμόσει</w:t>
            </w:r>
            <w:r w:rsidR="00963B20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 ξεχωριστή στρατηγική στο πεδίο των εμβολίων στην Ευρώπη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.</w:t>
            </w:r>
          </w:p>
          <w:p w:rsidR="00C12FE4" w:rsidRPr="00DB034F" w:rsidRDefault="00021927" w:rsidP="00C12FE4">
            <w:pPr>
              <w:widowControl/>
              <w:numPr>
                <w:ilvl w:val="0"/>
                <w:numId w:val="19"/>
              </w:numPr>
              <w:ind w:left="945"/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Κυκλοφόρησε </w:t>
            </w:r>
            <w:r w:rsidR="0083730B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στις ΗΠΑ και </w:t>
            </w:r>
            <w:r w:rsidR="0083730B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εγκρίθηκε στην ΕΕ </w:t>
            </w:r>
            <w:r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ο σταθερός </w:t>
            </w:r>
            <w:proofErr w:type="spellStart"/>
            <w:r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συνδιασμός</w:t>
            </w:r>
            <w:proofErr w:type="spellEnd"/>
            <w:r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 ινσουλίνης </w:t>
            </w:r>
            <w:proofErr w:type="spellStart"/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glargine</w:t>
            </w:r>
            <w:proofErr w:type="spellEnd"/>
            <w:r w:rsidRPr="00021927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 100 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U</w:t>
            </w:r>
            <w:r w:rsidRPr="00021927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/</w:t>
            </w:r>
            <w:r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ml</w:t>
            </w:r>
            <w:r w:rsidRPr="00021927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με </w:t>
            </w:r>
            <w:proofErr w:type="spellStart"/>
            <w:r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λιξισενατίδη</w:t>
            </w:r>
            <w:proofErr w:type="spellEnd"/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για </w:t>
            </w:r>
            <w:r w:rsidR="00DC033A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τη θεραπεία ασθενών με διαβήτη τύπου 2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.</w:t>
            </w:r>
          </w:p>
          <w:p w:rsidR="00C12FE4" w:rsidRPr="00DB034F" w:rsidRDefault="00DC033A" w:rsidP="00C12FE4">
            <w:pPr>
              <w:widowControl/>
              <w:numPr>
                <w:ilvl w:val="0"/>
                <w:numId w:val="19"/>
              </w:numPr>
              <w:ind w:left="945"/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</w:pPr>
            <w:r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Εγκρίθηκε το </w:t>
            </w:r>
            <w:proofErr w:type="spellStart"/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sarilumab</w:t>
            </w:r>
            <w:proofErr w:type="spellEnd"/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 </w:t>
            </w:r>
            <w:r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για τη θεραπεία της ρευματοειδούς αρθρίτιδας στον Καναδά</w:t>
            </w:r>
            <w:r w:rsidR="00976F9C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,</w:t>
            </w:r>
            <w:r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 ενώ προγραμματίζεται η εκ νέου υποβολή φακέλου για έγκριση στις ΗΠΑ στη διάρκεια του 1ου τριμήνου του 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2017.</w:t>
            </w:r>
          </w:p>
          <w:p w:rsidR="00C12FE4" w:rsidRPr="00DB034F" w:rsidRDefault="0040655C" w:rsidP="00C12FE4">
            <w:pPr>
              <w:widowControl/>
              <w:numPr>
                <w:ilvl w:val="0"/>
                <w:numId w:val="19"/>
              </w:numPr>
              <w:ind w:left="945"/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</w:pPr>
            <w:r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Ξεκίνησαν κλινικές μελέτες με 5 </w:t>
            </w:r>
            <w:r w:rsidR="004715E8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νέους δραστικούς παράγοντες </w:t>
            </w:r>
            <w:r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το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 2016: </w:t>
            </w:r>
            <w:proofErr w:type="spellStart"/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isatuximab</w:t>
            </w:r>
            <w:proofErr w:type="spellEnd"/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, 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PD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-1, </w:t>
            </w:r>
            <w:proofErr w:type="spellStart"/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sotagliflozin</w:t>
            </w:r>
            <w:proofErr w:type="spellEnd"/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, </w:t>
            </w:r>
            <w:proofErr w:type="spellStart"/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olipudase</w:t>
            </w:r>
            <w:proofErr w:type="spellEnd"/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 </w:t>
            </w:r>
            <w:proofErr w:type="spellStart"/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alfa</w:t>
            </w:r>
            <w:proofErr w:type="spellEnd"/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 </w:t>
            </w:r>
            <w:r w:rsidR="003D3185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και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 </w:t>
            </w:r>
            <w:proofErr w:type="spellStart"/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NeoGAA</w:t>
            </w:r>
            <w:proofErr w:type="spellEnd"/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.</w:t>
            </w:r>
          </w:p>
          <w:p w:rsidR="00C12FE4" w:rsidRPr="00DB034F" w:rsidRDefault="00C12FE4" w:rsidP="00C12FE4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DB034F">
              <w:rPr>
                <w:rFonts w:ascii="Arial" w:eastAsia="Times New Roman" w:hAnsi="Arial" w:cs="Arial"/>
                <w:b/>
                <w:bCs/>
                <w:sz w:val="17"/>
                <w:szCs w:val="17"/>
                <w:lang w:val="el-GR" w:eastAsia="el-GR"/>
              </w:rPr>
              <w:br/>
            </w:r>
            <w:r w:rsidR="00DC033A" w:rsidRPr="00DB034F">
              <w:rPr>
                <w:rFonts w:ascii="Arial" w:eastAsia="Times New Roman" w:hAnsi="Arial" w:cs="Arial"/>
                <w:b/>
                <w:bCs/>
                <w:sz w:val="17"/>
                <w:szCs w:val="17"/>
                <w:lang w:val="el-GR" w:eastAsia="el-GR"/>
              </w:rPr>
              <w:t xml:space="preserve">Οικονομική πρόβλεψη για το </w:t>
            </w:r>
            <w:r w:rsidRPr="00DB034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l-GR"/>
              </w:rPr>
              <w:t xml:space="preserve">2017 </w:t>
            </w:r>
          </w:p>
          <w:p w:rsidR="0078748C" w:rsidRPr="0078748C" w:rsidRDefault="00DC033A" w:rsidP="0078748C">
            <w:pPr>
              <w:pStyle w:val="ListParagraph"/>
              <w:numPr>
                <w:ilvl w:val="0"/>
                <w:numId w:val="15"/>
              </w:numPr>
              <w:tabs>
                <w:tab w:val="left" w:pos="432"/>
              </w:tabs>
              <w:rPr>
                <w:rFonts w:ascii="Arial" w:eastAsia="Arial" w:hAnsi="Arial" w:cs="Arial"/>
                <w:sz w:val="20"/>
                <w:szCs w:val="20"/>
                <w:lang w:val="el-GR"/>
              </w:rPr>
            </w:pPr>
            <w:r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Η 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Sanofi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 </w:t>
            </w:r>
            <w:r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αναμένει τα κέρδη δραστηριοτήτων ανά μετοχή (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EPS</w:t>
            </w:r>
            <w:r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)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vertAlign w:val="superscript"/>
                <w:lang w:val="el-GR" w:eastAsia="el-GR"/>
              </w:rPr>
              <w:t>(1)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 το 2017 να διατηρηθούν στο 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-3%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vertAlign w:val="superscript"/>
                <w:lang w:val="el-GR" w:eastAsia="el-GR"/>
              </w:rPr>
              <w:t>(5)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eastAsia="el-GR"/>
              </w:rPr>
              <w:t> </w:t>
            </w:r>
            <w:r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σε σταθερές τιμές συναλλάγματος, εξαιρουμένων απρόβλεπτων δυσμενών εξελίξεων,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 </w:t>
            </w:r>
            <w:r w:rsidR="0040655C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σύμφωνα με </w:t>
            </w:r>
            <w:r w:rsidR="00976F9C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παλαιότερη</w:t>
            </w:r>
            <w:r w:rsidR="00DB034F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 </w:t>
            </w:r>
            <w:r w:rsidR="0040655C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πρόβλεψ</w:t>
            </w:r>
            <w:r w:rsidR="00DB034F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η που </w:t>
            </w:r>
            <w:r w:rsidR="00976F9C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συμπεριλήφθηκε</w:t>
            </w:r>
            <w:r w:rsidR="00DB034F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 στον Στρατηγικό Χάρτη για την περίοδο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 2016-17. </w:t>
            </w:r>
            <w:r w:rsidR="00DB034F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Εφαρμόζοντας τον μέσο όρο των συναλλαγματικών ισοτιμιών</w:t>
            </w:r>
            <w:r w:rsidR="00976F9C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 τον</w:t>
            </w:r>
            <w:r w:rsidR="00DB034F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 Δεκέμβριο του 2016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, </w:t>
            </w:r>
            <w:r w:rsidR="00DB034F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η επίπτωση του συναλλάγματος στα καθαρά κέρδη ανά μετοχή το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 2017</w:t>
            </w:r>
            <w:r w:rsidR="00DB034F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 υπολογίζεται ότι θα κυμαίνεται μεταξύ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 +3% </w:t>
            </w:r>
            <w:r w:rsidR="00DB034F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>και</w:t>
            </w:r>
            <w:r w:rsidR="00C12FE4" w:rsidRPr="00DB034F">
              <w:rPr>
                <w:rFonts w:ascii="Arial" w:eastAsia="Times New Roman" w:hAnsi="Arial" w:cs="Arial"/>
                <w:sz w:val="17"/>
                <w:szCs w:val="17"/>
                <w:lang w:val="el-GR" w:eastAsia="el-GR"/>
              </w:rPr>
              <w:t xml:space="preserve"> +4%.</w:t>
            </w:r>
          </w:p>
        </w:tc>
      </w:tr>
      <w:tr w:rsidR="002D3EB0" w:rsidRPr="00021927" w:rsidTr="0087762B">
        <w:trPr>
          <w:trHeight w:hRule="exact" w:val="2152"/>
        </w:trPr>
        <w:tc>
          <w:tcPr>
            <w:tcW w:w="10958" w:type="dxa"/>
            <w:tcBorders>
              <w:top w:val="single" w:sz="12" w:space="0" w:color="909ED2"/>
              <w:left w:val="nil"/>
              <w:bottom w:val="nil"/>
              <w:right w:val="nil"/>
            </w:tcBorders>
            <w:shd w:val="clear" w:color="auto" w:fill="EFE5D2"/>
          </w:tcPr>
          <w:p w:rsidR="002D3EB0" w:rsidRPr="00A6715A" w:rsidRDefault="00747672">
            <w:pPr>
              <w:pStyle w:val="TableParagraph"/>
              <w:spacing w:before="125"/>
              <w:ind w:left="11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6715A">
              <w:rPr>
                <w:rFonts w:ascii="Arial" w:hAnsi="Arial" w:cs="Arial"/>
                <w:b/>
                <w:color w:val="444491"/>
                <w:spacing w:val="-1"/>
                <w:sz w:val="20"/>
                <w:lang w:val="el-GR"/>
              </w:rPr>
              <w:lastRenderedPageBreak/>
              <w:t>Ο</w:t>
            </w:r>
            <w:r w:rsidRPr="00A6715A">
              <w:rPr>
                <w:rFonts w:ascii="Arial" w:hAnsi="Arial" w:cs="Arial"/>
                <w:b/>
                <w:color w:val="444491"/>
                <w:spacing w:val="-1"/>
                <w:sz w:val="20"/>
              </w:rPr>
              <w:t xml:space="preserve"> </w:t>
            </w:r>
            <w:r w:rsidRPr="00A6715A">
              <w:rPr>
                <w:rFonts w:ascii="Arial" w:hAnsi="Arial" w:cs="Arial"/>
                <w:b/>
                <w:color w:val="444491"/>
                <w:spacing w:val="-1"/>
                <w:sz w:val="20"/>
                <w:lang w:val="el-GR"/>
              </w:rPr>
              <w:t>κ</w:t>
            </w:r>
            <w:r w:rsidRPr="00A6715A">
              <w:rPr>
                <w:rFonts w:ascii="Arial" w:hAnsi="Arial" w:cs="Arial"/>
                <w:b/>
                <w:color w:val="444491"/>
                <w:spacing w:val="-1"/>
                <w:sz w:val="20"/>
              </w:rPr>
              <w:t xml:space="preserve">. </w:t>
            </w:r>
            <w:r w:rsidRPr="00A6715A">
              <w:rPr>
                <w:rFonts w:ascii="Arial" w:hAnsi="Arial" w:cs="Arial"/>
                <w:b/>
                <w:color w:val="444491"/>
                <w:sz w:val="20"/>
              </w:rPr>
              <w:t>Olivier</w:t>
            </w:r>
            <w:r w:rsidRPr="00A6715A">
              <w:rPr>
                <w:rFonts w:ascii="Arial" w:hAnsi="Arial" w:cs="Arial"/>
                <w:b/>
                <w:color w:val="444491"/>
                <w:spacing w:val="-11"/>
                <w:sz w:val="20"/>
              </w:rPr>
              <w:t xml:space="preserve"> </w:t>
            </w:r>
            <w:proofErr w:type="spellStart"/>
            <w:r w:rsidRPr="00A6715A">
              <w:rPr>
                <w:rFonts w:ascii="Arial" w:hAnsi="Arial" w:cs="Arial"/>
                <w:b/>
                <w:color w:val="444491"/>
                <w:spacing w:val="-1"/>
                <w:sz w:val="20"/>
              </w:rPr>
              <w:t>Brandicourt</w:t>
            </w:r>
            <w:proofErr w:type="spellEnd"/>
            <w:r w:rsidRPr="00A6715A">
              <w:rPr>
                <w:rFonts w:ascii="Arial" w:hAnsi="Arial" w:cs="Arial"/>
                <w:b/>
                <w:color w:val="444491"/>
                <w:spacing w:val="-1"/>
                <w:sz w:val="20"/>
              </w:rPr>
              <w:t xml:space="preserve">, </w:t>
            </w:r>
            <w:r w:rsidR="00E363DA" w:rsidRPr="00A6715A">
              <w:rPr>
                <w:rFonts w:ascii="Arial" w:hAnsi="Arial" w:cs="Arial"/>
                <w:b/>
                <w:color w:val="444491"/>
                <w:spacing w:val="-1"/>
                <w:sz w:val="20"/>
              </w:rPr>
              <w:t>Sanofi</w:t>
            </w:r>
            <w:r w:rsidR="00E363DA" w:rsidRPr="00A6715A">
              <w:rPr>
                <w:rFonts w:ascii="Arial" w:hAnsi="Arial" w:cs="Arial"/>
                <w:b/>
                <w:color w:val="444491"/>
                <w:spacing w:val="-11"/>
                <w:sz w:val="20"/>
              </w:rPr>
              <w:t xml:space="preserve"> </w:t>
            </w:r>
            <w:r w:rsidR="00E363DA" w:rsidRPr="00A6715A">
              <w:rPr>
                <w:rFonts w:ascii="Arial" w:hAnsi="Arial" w:cs="Arial"/>
                <w:b/>
                <w:color w:val="444491"/>
                <w:spacing w:val="-1"/>
                <w:sz w:val="20"/>
              </w:rPr>
              <w:t>Chief</w:t>
            </w:r>
            <w:r w:rsidR="00E363DA" w:rsidRPr="00A6715A">
              <w:rPr>
                <w:rFonts w:ascii="Arial" w:hAnsi="Arial" w:cs="Arial"/>
                <w:b/>
                <w:color w:val="444491"/>
                <w:spacing w:val="-7"/>
                <w:sz w:val="20"/>
              </w:rPr>
              <w:t xml:space="preserve"> </w:t>
            </w:r>
            <w:r w:rsidR="00E363DA" w:rsidRPr="00A6715A">
              <w:rPr>
                <w:rFonts w:ascii="Arial" w:hAnsi="Arial" w:cs="Arial"/>
                <w:b/>
                <w:color w:val="444491"/>
                <w:spacing w:val="-1"/>
                <w:sz w:val="20"/>
              </w:rPr>
              <w:t>Executive</w:t>
            </w:r>
            <w:r w:rsidR="00E363DA" w:rsidRPr="00A6715A">
              <w:rPr>
                <w:rFonts w:ascii="Arial" w:hAnsi="Arial" w:cs="Arial"/>
                <w:b/>
                <w:color w:val="444491"/>
                <w:spacing w:val="-10"/>
                <w:sz w:val="20"/>
              </w:rPr>
              <w:t xml:space="preserve"> </w:t>
            </w:r>
            <w:r w:rsidR="00E363DA" w:rsidRPr="00A6715A">
              <w:rPr>
                <w:rFonts w:ascii="Arial" w:hAnsi="Arial" w:cs="Arial"/>
                <w:b/>
                <w:color w:val="444491"/>
                <w:spacing w:val="-1"/>
                <w:sz w:val="20"/>
              </w:rPr>
              <w:t>Officer,</w:t>
            </w:r>
            <w:r w:rsidR="00E363DA" w:rsidRPr="00A6715A">
              <w:rPr>
                <w:rFonts w:ascii="Arial" w:hAnsi="Arial" w:cs="Arial"/>
                <w:b/>
                <w:color w:val="444491"/>
                <w:spacing w:val="-9"/>
                <w:sz w:val="20"/>
              </w:rPr>
              <w:t xml:space="preserve"> </w:t>
            </w:r>
            <w:r w:rsidRPr="00A6715A">
              <w:rPr>
                <w:rFonts w:ascii="Arial" w:hAnsi="Arial" w:cs="Arial"/>
                <w:b/>
                <w:color w:val="444491"/>
                <w:spacing w:val="-1"/>
                <w:sz w:val="20"/>
                <w:lang w:val="el-GR"/>
              </w:rPr>
              <w:t>σχολίασε</w:t>
            </w:r>
            <w:r w:rsidR="00E363DA" w:rsidRPr="00A6715A">
              <w:rPr>
                <w:rFonts w:ascii="Arial" w:hAnsi="Arial" w:cs="Arial"/>
                <w:b/>
                <w:color w:val="444491"/>
                <w:spacing w:val="-1"/>
                <w:sz w:val="20"/>
              </w:rPr>
              <w:t>:</w:t>
            </w:r>
          </w:p>
          <w:p w:rsidR="00AE0BE6" w:rsidRPr="00286A32" w:rsidRDefault="00C12FE4" w:rsidP="00062A6D">
            <w:pPr>
              <w:pStyle w:val="TableParagraph"/>
              <w:ind w:left="110" w:right="107"/>
              <w:jc w:val="both"/>
              <w:rPr>
                <w:rFonts w:ascii="Arial" w:eastAsia="Arial" w:hAnsi="Arial" w:cs="Arial"/>
                <w:sz w:val="19"/>
                <w:szCs w:val="19"/>
                <w:lang w:val="el-GR"/>
              </w:rPr>
            </w:pPr>
            <w:r w:rsidRPr="00286A32">
              <w:rPr>
                <w:rFonts w:ascii="Arial" w:eastAsia="Times New Roman" w:hAnsi="Arial" w:cs="Arial"/>
                <w:i/>
                <w:iCs/>
                <w:sz w:val="19"/>
                <w:szCs w:val="19"/>
                <w:lang w:val="el-GR" w:eastAsia="el-GR"/>
              </w:rPr>
              <w:t>"</w:t>
            </w:r>
            <w:r w:rsidR="00C245B4" w:rsidRPr="00286A32">
              <w:rPr>
                <w:rFonts w:ascii="Arial" w:eastAsia="Times New Roman" w:hAnsi="Arial" w:cs="Arial"/>
                <w:i/>
                <w:iCs/>
                <w:sz w:val="19"/>
                <w:szCs w:val="19"/>
                <w:lang w:val="el-GR" w:eastAsia="el-GR"/>
              </w:rPr>
              <w:t xml:space="preserve">Το </w:t>
            </w:r>
            <w:r w:rsidRPr="00286A32">
              <w:rPr>
                <w:rFonts w:ascii="Arial" w:eastAsia="Times New Roman" w:hAnsi="Arial" w:cs="Arial"/>
                <w:i/>
                <w:iCs/>
                <w:sz w:val="19"/>
                <w:szCs w:val="19"/>
                <w:lang w:val="el-GR" w:eastAsia="el-GR"/>
              </w:rPr>
              <w:t xml:space="preserve">2016 </w:t>
            </w:r>
            <w:r w:rsidR="007A5521">
              <w:rPr>
                <w:rFonts w:ascii="Arial" w:eastAsia="Times New Roman" w:hAnsi="Arial" w:cs="Arial"/>
                <w:i/>
                <w:iCs/>
                <w:sz w:val="19"/>
                <w:szCs w:val="19"/>
                <w:lang w:val="el-GR" w:eastAsia="el-GR"/>
              </w:rPr>
              <w:t>ήταν</w:t>
            </w:r>
            <w:r w:rsidR="007267C9" w:rsidRPr="00286A32">
              <w:rPr>
                <w:rFonts w:ascii="Arial" w:eastAsia="Times New Roman" w:hAnsi="Arial" w:cs="Arial"/>
                <w:i/>
                <w:iCs/>
                <w:sz w:val="19"/>
                <w:szCs w:val="19"/>
                <w:lang w:val="el-GR" w:eastAsia="el-GR"/>
              </w:rPr>
              <w:t xml:space="preserve"> μ</w:t>
            </w:r>
            <w:r w:rsidR="0040655C" w:rsidRPr="00286A32">
              <w:rPr>
                <w:rFonts w:ascii="Arial" w:eastAsia="Times New Roman" w:hAnsi="Arial" w:cs="Arial"/>
                <w:i/>
                <w:iCs/>
                <w:sz w:val="19"/>
                <w:szCs w:val="19"/>
                <w:lang w:val="el-GR" w:eastAsia="el-GR"/>
              </w:rPr>
              <w:t>ί</w:t>
            </w:r>
            <w:r w:rsidR="007267C9" w:rsidRPr="00286A32">
              <w:rPr>
                <w:rFonts w:ascii="Arial" w:eastAsia="Times New Roman" w:hAnsi="Arial" w:cs="Arial"/>
                <w:i/>
                <w:iCs/>
                <w:sz w:val="19"/>
                <w:szCs w:val="19"/>
                <w:lang w:val="el-GR" w:eastAsia="el-GR"/>
              </w:rPr>
              <w:t>α περίοδος έντονης δραστηριότητας για τη</w:t>
            </w:r>
            <w:r w:rsidRPr="00286A32">
              <w:rPr>
                <w:rFonts w:ascii="Arial" w:eastAsia="Times New Roman" w:hAnsi="Arial" w:cs="Arial"/>
                <w:i/>
                <w:iCs/>
                <w:sz w:val="19"/>
                <w:szCs w:val="19"/>
                <w:lang w:val="el-GR" w:eastAsia="el-GR"/>
              </w:rPr>
              <w:t xml:space="preserve"> </w:t>
            </w:r>
            <w:r w:rsidRPr="00286A32">
              <w:rPr>
                <w:rFonts w:ascii="Arial" w:eastAsia="Times New Roman" w:hAnsi="Arial" w:cs="Arial"/>
                <w:i/>
                <w:iCs/>
                <w:sz w:val="19"/>
                <w:szCs w:val="19"/>
                <w:lang w:eastAsia="el-GR"/>
              </w:rPr>
              <w:t>Sanofi</w:t>
            </w:r>
            <w:r w:rsidR="007267C9" w:rsidRPr="00286A32">
              <w:rPr>
                <w:rFonts w:ascii="Arial" w:eastAsia="Times New Roman" w:hAnsi="Arial" w:cs="Arial"/>
                <w:i/>
                <w:iCs/>
                <w:sz w:val="19"/>
                <w:szCs w:val="19"/>
                <w:lang w:val="el-GR" w:eastAsia="el-GR"/>
              </w:rPr>
              <w:t>,</w:t>
            </w:r>
            <w:r w:rsidRPr="00286A32">
              <w:rPr>
                <w:rFonts w:ascii="Arial" w:eastAsia="Times New Roman" w:hAnsi="Arial" w:cs="Arial"/>
                <w:i/>
                <w:iCs/>
                <w:sz w:val="19"/>
                <w:szCs w:val="19"/>
                <w:lang w:val="el-GR" w:eastAsia="el-GR"/>
              </w:rPr>
              <w:t xml:space="preserve"> </w:t>
            </w:r>
            <w:r w:rsidR="00977682" w:rsidRPr="00286A32">
              <w:rPr>
                <w:rFonts w:ascii="Arial" w:eastAsia="Times New Roman" w:hAnsi="Arial" w:cs="Arial"/>
                <w:i/>
                <w:iCs/>
                <w:sz w:val="19"/>
                <w:szCs w:val="19"/>
                <w:lang w:val="el-GR" w:eastAsia="el-GR"/>
              </w:rPr>
              <w:t>καθώς</w:t>
            </w:r>
            <w:r w:rsidR="007267C9" w:rsidRPr="00286A32">
              <w:rPr>
                <w:rFonts w:ascii="Arial" w:eastAsia="Times New Roman" w:hAnsi="Arial" w:cs="Arial"/>
                <w:i/>
                <w:iCs/>
                <w:sz w:val="19"/>
                <w:szCs w:val="19"/>
                <w:lang w:val="el-GR" w:eastAsia="el-GR"/>
              </w:rPr>
              <w:t xml:space="preserve"> σημειώσαμε σημαντική</w:t>
            </w:r>
            <w:r w:rsidR="00977682" w:rsidRPr="00286A32">
              <w:rPr>
                <w:rFonts w:ascii="Arial" w:eastAsia="Times New Roman" w:hAnsi="Arial" w:cs="Arial"/>
                <w:i/>
                <w:iCs/>
                <w:sz w:val="19"/>
                <w:szCs w:val="19"/>
                <w:lang w:val="el-GR" w:eastAsia="el-GR"/>
              </w:rPr>
              <w:t xml:space="preserve"> πρόοδο </w:t>
            </w:r>
            <w:r w:rsidR="0040655C" w:rsidRPr="00286A32">
              <w:rPr>
                <w:rFonts w:ascii="Arial" w:eastAsia="Times New Roman" w:hAnsi="Arial" w:cs="Arial"/>
                <w:i/>
                <w:iCs/>
                <w:sz w:val="19"/>
                <w:szCs w:val="19"/>
                <w:lang w:val="el-GR" w:eastAsia="el-GR"/>
              </w:rPr>
              <w:t xml:space="preserve">στο πλαίσιο του </w:t>
            </w:r>
            <w:r w:rsidR="00977682" w:rsidRPr="00286A32">
              <w:rPr>
                <w:rFonts w:ascii="Arial" w:eastAsia="Times New Roman" w:hAnsi="Arial" w:cs="Arial"/>
                <w:i/>
                <w:iCs/>
                <w:sz w:val="19"/>
                <w:szCs w:val="19"/>
                <w:lang w:val="el-GR" w:eastAsia="el-GR"/>
              </w:rPr>
              <w:t>στ</w:t>
            </w:r>
            <w:r w:rsidR="0040655C" w:rsidRPr="00286A32">
              <w:rPr>
                <w:rFonts w:ascii="Arial" w:eastAsia="Times New Roman" w:hAnsi="Arial" w:cs="Arial"/>
                <w:i/>
                <w:iCs/>
                <w:sz w:val="19"/>
                <w:szCs w:val="19"/>
                <w:lang w:val="el-GR" w:eastAsia="el-GR"/>
              </w:rPr>
              <w:t>ρατηγικού</w:t>
            </w:r>
            <w:r w:rsidR="00977682" w:rsidRPr="00286A32">
              <w:rPr>
                <w:rFonts w:ascii="Arial" w:eastAsia="Times New Roman" w:hAnsi="Arial" w:cs="Arial"/>
                <w:i/>
                <w:iCs/>
                <w:sz w:val="19"/>
                <w:szCs w:val="19"/>
                <w:lang w:val="el-GR" w:eastAsia="el-GR"/>
              </w:rPr>
              <w:t xml:space="preserve"> μας χάρτη για το</w:t>
            </w:r>
            <w:r w:rsidRPr="00286A32">
              <w:rPr>
                <w:rFonts w:ascii="Arial" w:eastAsia="Times New Roman" w:hAnsi="Arial" w:cs="Arial"/>
                <w:i/>
                <w:iCs/>
                <w:sz w:val="19"/>
                <w:szCs w:val="19"/>
                <w:lang w:val="el-GR" w:eastAsia="el-GR"/>
              </w:rPr>
              <w:t xml:space="preserve"> 2020. </w:t>
            </w:r>
            <w:r w:rsidR="00C245B4" w:rsidRPr="00286A32">
              <w:rPr>
                <w:rFonts w:ascii="Arial" w:eastAsia="Times New Roman" w:hAnsi="Arial" w:cs="Arial"/>
                <w:i/>
                <w:iCs/>
                <w:sz w:val="19"/>
                <w:szCs w:val="19"/>
                <w:lang w:val="el-GR" w:eastAsia="el-GR"/>
              </w:rPr>
              <w:t>Ολοκληρώσαμε με επιτυχία τη</w:t>
            </w:r>
            <w:r w:rsidR="00977682" w:rsidRPr="00286A32">
              <w:rPr>
                <w:rFonts w:ascii="Arial" w:eastAsia="Times New Roman" w:hAnsi="Arial" w:cs="Arial"/>
                <w:i/>
                <w:iCs/>
                <w:sz w:val="19"/>
                <w:szCs w:val="19"/>
                <w:lang w:val="el-GR" w:eastAsia="el-GR"/>
              </w:rPr>
              <w:t>ν</w:t>
            </w:r>
            <w:r w:rsidR="00C245B4" w:rsidRPr="00286A32">
              <w:rPr>
                <w:rFonts w:ascii="Arial" w:eastAsia="Times New Roman" w:hAnsi="Arial" w:cs="Arial"/>
                <w:i/>
                <w:iCs/>
                <w:sz w:val="19"/>
                <w:szCs w:val="19"/>
                <w:lang w:val="el-GR" w:eastAsia="el-GR"/>
              </w:rPr>
              <w:t xml:space="preserve"> ανταλλαγή με την </w:t>
            </w:r>
            <w:proofErr w:type="spellStart"/>
            <w:r w:rsidRPr="00286A32">
              <w:rPr>
                <w:rFonts w:ascii="Arial" w:eastAsia="Times New Roman" w:hAnsi="Arial" w:cs="Arial"/>
                <w:i/>
                <w:iCs/>
                <w:sz w:val="19"/>
                <w:szCs w:val="19"/>
                <w:lang w:eastAsia="el-GR"/>
              </w:rPr>
              <w:t>Boehringer</w:t>
            </w:r>
            <w:proofErr w:type="spellEnd"/>
            <w:r w:rsidRPr="00286A32">
              <w:rPr>
                <w:rFonts w:ascii="Arial" w:eastAsia="Times New Roman" w:hAnsi="Arial" w:cs="Arial"/>
                <w:i/>
                <w:iCs/>
                <w:sz w:val="19"/>
                <w:szCs w:val="19"/>
                <w:lang w:val="el-GR" w:eastAsia="el-GR"/>
              </w:rPr>
              <w:t xml:space="preserve"> </w:t>
            </w:r>
            <w:proofErr w:type="spellStart"/>
            <w:r w:rsidRPr="00286A32">
              <w:rPr>
                <w:rFonts w:ascii="Arial" w:eastAsia="Times New Roman" w:hAnsi="Arial" w:cs="Arial"/>
                <w:i/>
                <w:iCs/>
                <w:sz w:val="19"/>
                <w:szCs w:val="19"/>
                <w:lang w:eastAsia="el-GR"/>
              </w:rPr>
              <w:t>Ingelheim</w:t>
            </w:r>
            <w:proofErr w:type="spellEnd"/>
            <w:r w:rsidRPr="00286A32">
              <w:rPr>
                <w:rFonts w:ascii="Arial" w:eastAsia="Times New Roman" w:hAnsi="Arial" w:cs="Arial"/>
                <w:i/>
                <w:iCs/>
                <w:sz w:val="19"/>
                <w:szCs w:val="19"/>
                <w:lang w:val="el-GR" w:eastAsia="el-GR"/>
              </w:rPr>
              <w:t xml:space="preserve">, </w:t>
            </w:r>
            <w:r w:rsidR="00977682" w:rsidRPr="00286A32">
              <w:rPr>
                <w:rFonts w:ascii="Arial" w:eastAsia="Times New Roman" w:hAnsi="Arial" w:cs="Arial"/>
                <w:i/>
                <w:iCs/>
                <w:sz w:val="19"/>
                <w:szCs w:val="19"/>
                <w:lang w:val="el-GR" w:eastAsia="el-GR"/>
              </w:rPr>
              <w:t xml:space="preserve">γεγονός που μας </w:t>
            </w:r>
            <w:r w:rsidR="007267C9" w:rsidRPr="00286A32">
              <w:rPr>
                <w:rFonts w:ascii="Arial" w:eastAsia="Times New Roman" w:hAnsi="Arial" w:cs="Arial"/>
                <w:i/>
                <w:iCs/>
                <w:sz w:val="19"/>
                <w:szCs w:val="19"/>
                <w:lang w:val="el-GR" w:eastAsia="el-GR"/>
              </w:rPr>
              <w:t xml:space="preserve">έφερε σε ηγετική θέση </w:t>
            </w:r>
            <w:r w:rsidR="00977682" w:rsidRPr="00286A32">
              <w:rPr>
                <w:rFonts w:ascii="Arial" w:eastAsia="Times New Roman" w:hAnsi="Arial" w:cs="Arial"/>
                <w:i/>
                <w:iCs/>
                <w:sz w:val="19"/>
                <w:szCs w:val="19"/>
                <w:lang w:val="el-GR" w:eastAsia="el-GR"/>
              </w:rPr>
              <w:t>στον τομέα των Καταναλωτικών Προϊόντων Υγείας</w:t>
            </w:r>
            <w:r w:rsidRPr="00286A32">
              <w:rPr>
                <w:rFonts w:ascii="Arial" w:eastAsia="Times New Roman" w:hAnsi="Arial" w:cs="Arial"/>
                <w:i/>
                <w:iCs/>
                <w:sz w:val="19"/>
                <w:szCs w:val="19"/>
                <w:lang w:val="el-GR" w:eastAsia="el-GR"/>
              </w:rPr>
              <w:t xml:space="preserve">. </w:t>
            </w:r>
            <w:r w:rsidR="007267C9" w:rsidRPr="00286A32">
              <w:rPr>
                <w:rFonts w:ascii="Arial" w:eastAsia="Times New Roman" w:hAnsi="Arial" w:cs="Arial"/>
                <w:i/>
                <w:iCs/>
                <w:sz w:val="19"/>
                <w:szCs w:val="19"/>
                <w:lang w:val="el-GR" w:eastAsia="el-GR"/>
              </w:rPr>
              <w:t>Η βελτιστοποίηση της οργάνωσής μας άρχισε να αποδίδει καρπούς</w:t>
            </w:r>
            <w:r w:rsidRPr="00286A32">
              <w:rPr>
                <w:rFonts w:ascii="Arial" w:eastAsia="Times New Roman" w:hAnsi="Arial" w:cs="Arial"/>
                <w:i/>
                <w:iCs/>
                <w:sz w:val="19"/>
                <w:szCs w:val="19"/>
                <w:lang w:val="el-GR" w:eastAsia="el-GR"/>
              </w:rPr>
              <w:t xml:space="preserve"> </w:t>
            </w:r>
            <w:r w:rsidR="00977682" w:rsidRPr="00286A32">
              <w:rPr>
                <w:rFonts w:ascii="Arial" w:eastAsia="Times New Roman" w:hAnsi="Arial" w:cs="Arial"/>
                <w:i/>
                <w:iCs/>
                <w:sz w:val="19"/>
                <w:szCs w:val="19"/>
                <w:lang w:val="el-GR" w:eastAsia="el-GR"/>
              </w:rPr>
              <w:t>και</w:t>
            </w:r>
            <w:r w:rsidR="007267C9" w:rsidRPr="00286A32">
              <w:rPr>
                <w:rFonts w:ascii="Arial" w:eastAsia="Times New Roman" w:hAnsi="Arial" w:cs="Arial"/>
                <w:i/>
                <w:iCs/>
                <w:sz w:val="19"/>
                <w:szCs w:val="19"/>
                <w:lang w:val="el-GR" w:eastAsia="el-GR"/>
              </w:rPr>
              <w:t xml:space="preserve"> </w:t>
            </w:r>
            <w:r w:rsidR="0040655C" w:rsidRPr="00286A32">
              <w:rPr>
                <w:rFonts w:ascii="Arial" w:eastAsia="Times New Roman" w:hAnsi="Arial" w:cs="Arial"/>
                <w:i/>
                <w:iCs/>
                <w:sz w:val="19"/>
                <w:szCs w:val="19"/>
                <w:lang w:val="el-GR" w:eastAsia="el-GR"/>
              </w:rPr>
              <w:t>είχε ως αποτέλεσμα μια πιο ισχυρή</w:t>
            </w:r>
            <w:r w:rsidR="007267C9" w:rsidRPr="00286A32">
              <w:rPr>
                <w:rFonts w:ascii="Arial" w:eastAsia="Times New Roman" w:hAnsi="Arial" w:cs="Arial"/>
                <w:i/>
                <w:iCs/>
                <w:sz w:val="19"/>
                <w:szCs w:val="19"/>
                <w:lang w:val="el-GR" w:eastAsia="el-GR"/>
              </w:rPr>
              <w:t xml:space="preserve"> οικονομική απόδοση</w:t>
            </w:r>
            <w:r w:rsidR="0040655C" w:rsidRPr="00286A32">
              <w:rPr>
                <w:rFonts w:ascii="Arial" w:eastAsia="Times New Roman" w:hAnsi="Arial" w:cs="Arial"/>
                <w:i/>
                <w:iCs/>
                <w:sz w:val="19"/>
                <w:szCs w:val="19"/>
                <w:lang w:val="el-GR" w:eastAsia="el-GR"/>
              </w:rPr>
              <w:t xml:space="preserve"> σε σχέση με</w:t>
            </w:r>
            <w:r w:rsidR="007267C9" w:rsidRPr="00286A32">
              <w:rPr>
                <w:rFonts w:ascii="Arial" w:eastAsia="Times New Roman" w:hAnsi="Arial" w:cs="Arial"/>
                <w:i/>
                <w:iCs/>
                <w:sz w:val="19"/>
                <w:szCs w:val="19"/>
                <w:lang w:val="el-GR" w:eastAsia="el-GR"/>
              </w:rPr>
              <w:t xml:space="preserve"> τις αρχικές προσδοκίες μας. </w:t>
            </w:r>
            <w:r w:rsidR="00C245B4" w:rsidRPr="00286A32">
              <w:rPr>
                <w:rFonts w:ascii="Arial" w:eastAsia="Times New Roman" w:hAnsi="Arial" w:cs="Arial"/>
                <w:i/>
                <w:iCs/>
                <w:sz w:val="19"/>
                <w:szCs w:val="19"/>
                <w:lang w:val="el-GR" w:eastAsia="el-GR"/>
              </w:rPr>
              <w:t xml:space="preserve">Παράλληλα, προχωρήσαμε στην κατάθεση φακέλου για την έγκριση του πρωτοποριακού μας καινοτόμου προϊόντος </w:t>
            </w:r>
            <w:proofErr w:type="spellStart"/>
            <w:r w:rsidR="007A5521">
              <w:rPr>
                <w:rFonts w:ascii="Arial" w:eastAsia="Times New Roman" w:hAnsi="Arial" w:cs="Arial"/>
                <w:i/>
                <w:iCs/>
                <w:sz w:val="19"/>
                <w:szCs w:val="19"/>
                <w:lang w:eastAsia="el-GR"/>
              </w:rPr>
              <w:t>dupilumab</w:t>
            </w:r>
            <w:proofErr w:type="spellEnd"/>
            <w:r w:rsidRPr="00286A32">
              <w:rPr>
                <w:rFonts w:ascii="Arial" w:eastAsia="Times New Roman" w:hAnsi="Arial" w:cs="Arial"/>
                <w:i/>
                <w:iCs/>
                <w:sz w:val="19"/>
                <w:szCs w:val="19"/>
                <w:lang w:eastAsia="el-GR"/>
              </w:rPr>
              <w:t> </w:t>
            </w:r>
            <w:r w:rsidR="00C245B4" w:rsidRPr="00286A32">
              <w:rPr>
                <w:rFonts w:ascii="Arial" w:eastAsia="Times New Roman" w:hAnsi="Arial" w:cs="Arial"/>
                <w:i/>
                <w:iCs/>
                <w:sz w:val="19"/>
                <w:szCs w:val="19"/>
                <w:lang w:val="el-GR" w:eastAsia="el-GR"/>
              </w:rPr>
              <w:t xml:space="preserve">για την πρώτη ένδειξη, την ατοπική δερματίτιδα, στις ΗΠΑ και την Ευρώπη. </w:t>
            </w:r>
            <w:r w:rsidR="00977682" w:rsidRPr="00286A32">
              <w:rPr>
                <w:rFonts w:ascii="Arial" w:eastAsia="Times New Roman" w:hAnsi="Arial" w:cs="Arial"/>
                <w:i/>
                <w:iCs/>
                <w:sz w:val="19"/>
                <w:szCs w:val="19"/>
                <w:lang w:val="el-GR" w:eastAsia="el-GR"/>
              </w:rPr>
              <w:t>Επιπλέον</w:t>
            </w:r>
            <w:r w:rsidRPr="00286A32">
              <w:rPr>
                <w:rFonts w:ascii="Arial" w:eastAsia="Times New Roman" w:hAnsi="Arial" w:cs="Arial"/>
                <w:i/>
                <w:iCs/>
                <w:sz w:val="19"/>
                <w:szCs w:val="19"/>
                <w:lang w:val="el-GR" w:eastAsia="el-GR"/>
              </w:rPr>
              <w:t xml:space="preserve">, </w:t>
            </w:r>
            <w:r w:rsidR="00062A6D">
              <w:rPr>
                <w:rFonts w:ascii="Arial" w:eastAsia="Times New Roman" w:hAnsi="Arial" w:cs="Arial"/>
                <w:i/>
                <w:iCs/>
                <w:sz w:val="19"/>
                <w:szCs w:val="19"/>
                <w:lang w:val="el-GR" w:eastAsia="el-GR"/>
              </w:rPr>
              <w:t xml:space="preserve">ξεκίνησαν εγκριτικές μελέτες με </w:t>
            </w:r>
            <w:r w:rsidR="00977682" w:rsidRPr="00286A32">
              <w:rPr>
                <w:rFonts w:ascii="Arial" w:eastAsia="Times New Roman" w:hAnsi="Arial" w:cs="Arial"/>
                <w:i/>
                <w:iCs/>
                <w:sz w:val="19"/>
                <w:szCs w:val="19"/>
                <w:lang w:val="el-GR" w:eastAsia="el-GR"/>
              </w:rPr>
              <w:t>πέντε νέ</w:t>
            </w:r>
            <w:r w:rsidR="007A5521">
              <w:rPr>
                <w:rFonts w:ascii="Arial" w:eastAsia="Times New Roman" w:hAnsi="Arial" w:cs="Arial"/>
                <w:i/>
                <w:iCs/>
                <w:sz w:val="19"/>
                <w:szCs w:val="19"/>
                <w:lang w:val="el-GR" w:eastAsia="el-GR"/>
              </w:rPr>
              <w:t>ους</w:t>
            </w:r>
            <w:r w:rsidR="00977682" w:rsidRPr="00286A32">
              <w:rPr>
                <w:rFonts w:ascii="Arial" w:eastAsia="Times New Roman" w:hAnsi="Arial" w:cs="Arial"/>
                <w:i/>
                <w:iCs/>
                <w:sz w:val="19"/>
                <w:szCs w:val="19"/>
                <w:lang w:val="el-GR" w:eastAsia="el-GR"/>
              </w:rPr>
              <w:t xml:space="preserve"> δραστικ</w:t>
            </w:r>
            <w:r w:rsidR="007A5521">
              <w:rPr>
                <w:rFonts w:ascii="Arial" w:eastAsia="Times New Roman" w:hAnsi="Arial" w:cs="Arial"/>
                <w:i/>
                <w:iCs/>
                <w:sz w:val="19"/>
                <w:szCs w:val="19"/>
                <w:lang w:val="el-GR" w:eastAsia="el-GR"/>
              </w:rPr>
              <w:t>ούς</w:t>
            </w:r>
            <w:r w:rsidR="00977682" w:rsidRPr="00286A32">
              <w:rPr>
                <w:rFonts w:ascii="Arial" w:eastAsia="Times New Roman" w:hAnsi="Arial" w:cs="Arial"/>
                <w:i/>
                <w:iCs/>
                <w:sz w:val="19"/>
                <w:szCs w:val="19"/>
                <w:lang w:val="el-GR" w:eastAsia="el-GR"/>
              </w:rPr>
              <w:t xml:space="preserve"> </w:t>
            </w:r>
            <w:r w:rsidR="007A5521">
              <w:rPr>
                <w:rFonts w:ascii="Arial" w:eastAsia="Times New Roman" w:hAnsi="Arial" w:cs="Arial"/>
                <w:i/>
                <w:iCs/>
                <w:sz w:val="19"/>
                <w:szCs w:val="19"/>
                <w:lang w:val="el-GR" w:eastAsia="el-GR"/>
              </w:rPr>
              <w:t>παράγοντες</w:t>
            </w:r>
            <w:r w:rsidR="00E363DA" w:rsidRPr="00286A32">
              <w:rPr>
                <w:rFonts w:ascii="Arial" w:eastAsia="Arial" w:hAnsi="Arial" w:cs="Arial"/>
                <w:i/>
                <w:spacing w:val="-1"/>
                <w:sz w:val="19"/>
                <w:szCs w:val="19"/>
                <w:lang w:val="el-GR"/>
              </w:rPr>
              <w:t>.”</w:t>
            </w:r>
          </w:p>
        </w:tc>
      </w:tr>
    </w:tbl>
    <w:p w:rsidR="0011714A" w:rsidRDefault="00E363DA" w:rsidP="009C3ADE">
      <w:pPr>
        <w:tabs>
          <w:tab w:val="left" w:pos="356"/>
        </w:tabs>
        <w:spacing w:before="52"/>
        <w:ind w:right="140"/>
        <w:jc w:val="both"/>
        <w:rPr>
          <w:rFonts w:ascii="Arial" w:eastAsia="Arial" w:hAnsi="Arial" w:cs="Arial"/>
          <w:i/>
          <w:sz w:val="14"/>
          <w:szCs w:val="14"/>
          <w:lang w:val="el-GR"/>
        </w:rPr>
      </w:pPr>
      <w:r w:rsidRPr="009C727E">
        <w:rPr>
          <w:rFonts w:ascii="Arial" w:eastAsia="Arial" w:hAnsi="Arial" w:cs="Arial"/>
          <w:i/>
          <w:spacing w:val="1"/>
          <w:sz w:val="14"/>
          <w:szCs w:val="14"/>
          <w:lang w:val="el-GR"/>
        </w:rPr>
        <w:t xml:space="preserve"> </w:t>
      </w:r>
      <w:r w:rsidR="0011714A" w:rsidRPr="003549A4">
        <w:rPr>
          <w:rFonts w:ascii="Arial" w:eastAsia="Arial" w:hAnsi="Arial" w:cs="Arial"/>
          <w:i/>
          <w:sz w:val="14"/>
          <w:szCs w:val="14"/>
          <w:lang w:val="el-GR"/>
        </w:rPr>
        <w:t xml:space="preserve">(1) </w:t>
      </w:r>
      <w:r w:rsidR="0011714A" w:rsidRPr="009C3ADE">
        <w:rPr>
          <w:rFonts w:ascii="Arial" w:eastAsia="Arial" w:hAnsi="Arial" w:cs="Arial"/>
          <w:i/>
          <w:sz w:val="14"/>
          <w:szCs w:val="14"/>
          <w:lang w:val="el-GR"/>
        </w:rPr>
        <w:t xml:space="preserve">Προκειμένου να διευκολυνθεί η κατανόηση των επιχειρησιακών επιδόσεων, η Sanofi σχολιάζει τα καθαρά κέρδη δραστηριοτήτων της. Τα καθαρά κέρδη δραστηριοτήτων συνιστούν έναν οικονομικό δείκτη, διαφοροποιημένο ως προς τις γενικά αποδεκτές αρχές non-GAAP (βλέπε Παράρτημα </w:t>
      </w:r>
      <w:r w:rsidR="0011714A" w:rsidRPr="003549A4">
        <w:rPr>
          <w:rFonts w:ascii="Arial" w:eastAsia="Arial" w:hAnsi="Arial" w:cs="Arial"/>
          <w:i/>
          <w:sz w:val="14"/>
          <w:szCs w:val="14"/>
          <w:lang w:val="el-GR"/>
        </w:rPr>
        <w:t>11 </w:t>
      </w:r>
      <w:r w:rsidR="0011714A" w:rsidRPr="009C3ADE">
        <w:rPr>
          <w:rFonts w:ascii="Arial" w:eastAsia="Arial" w:hAnsi="Arial" w:cs="Arial"/>
          <w:i/>
          <w:sz w:val="14"/>
          <w:szCs w:val="14"/>
          <w:lang w:val="el-GR"/>
        </w:rPr>
        <w:t>για ορισμούς</w:t>
      </w:r>
      <w:r w:rsidR="0011714A" w:rsidRPr="003549A4">
        <w:rPr>
          <w:rFonts w:ascii="Arial" w:eastAsia="Arial" w:hAnsi="Arial" w:cs="Arial"/>
          <w:i/>
          <w:sz w:val="14"/>
          <w:szCs w:val="14"/>
          <w:lang w:val="el-GR"/>
        </w:rPr>
        <w:t xml:space="preserve">). </w:t>
      </w:r>
      <w:r w:rsidR="009C3ADE">
        <w:rPr>
          <w:rFonts w:ascii="Arial" w:eastAsia="Arial" w:hAnsi="Arial" w:cs="Arial"/>
          <w:i/>
          <w:spacing w:val="-1"/>
          <w:sz w:val="14"/>
          <w:szCs w:val="14"/>
          <w:lang w:val="el-GR"/>
        </w:rPr>
        <w:t>Η</w:t>
      </w:r>
      <w:r w:rsidR="009C3ADE" w:rsidRPr="009C3ADE">
        <w:rPr>
          <w:rFonts w:ascii="Arial" w:eastAsia="Arial" w:hAnsi="Arial" w:cs="Arial"/>
          <w:i/>
          <w:spacing w:val="-1"/>
          <w:sz w:val="14"/>
          <w:szCs w:val="14"/>
          <w:lang w:val="el-GR"/>
        </w:rPr>
        <w:t xml:space="preserve"> </w:t>
      </w:r>
      <w:r w:rsidR="009C3ADE">
        <w:rPr>
          <w:rFonts w:ascii="Arial" w:eastAsia="Arial" w:hAnsi="Arial" w:cs="Arial"/>
          <w:i/>
          <w:spacing w:val="-1"/>
          <w:sz w:val="14"/>
          <w:szCs w:val="14"/>
          <w:lang w:val="el-GR"/>
        </w:rPr>
        <w:t>ενοποιημένη</w:t>
      </w:r>
      <w:r w:rsidR="009C3ADE" w:rsidRPr="009C3ADE">
        <w:rPr>
          <w:rFonts w:ascii="Arial" w:eastAsia="Arial" w:hAnsi="Arial" w:cs="Arial"/>
          <w:i/>
          <w:spacing w:val="-1"/>
          <w:sz w:val="14"/>
          <w:szCs w:val="14"/>
          <w:lang w:val="el-GR"/>
        </w:rPr>
        <w:t xml:space="preserve"> </w:t>
      </w:r>
      <w:r w:rsidR="009C3ADE">
        <w:rPr>
          <w:rFonts w:ascii="Arial" w:eastAsia="Arial" w:hAnsi="Arial" w:cs="Arial"/>
          <w:i/>
          <w:spacing w:val="-1"/>
          <w:sz w:val="14"/>
          <w:szCs w:val="14"/>
          <w:lang w:val="el-GR"/>
        </w:rPr>
        <w:t>κατάσταση</w:t>
      </w:r>
      <w:r w:rsidR="009C3ADE" w:rsidRPr="009C3ADE">
        <w:rPr>
          <w:rFonts w:ascii="Arial" w:eastAsia="Arial" w:hAnsi="Arial" w:cs="Arial"/>
          <w:i/>
          <w:spacing w:val="-1"/>
          <w:sz w:val="14"/>
          <w:szCs w:val="14"/>
          <w:lang w:val="el-GR"/>
        </w:rPr>
        <w:t xml:space="preserve"> </w:t>
      </w:r>
      <w:r w:rsidR="009C3ADE">
        <w:rPr>
          <w:rFonts w:ascii="Arial" w:eastAsia="Arial" w:hAnsi="Arial" w:cs="Arial"/>
          <w:i/>
          <w:spacing w:val="-1"/>
          <w:sz w:val="14"/>
          <w:szCs w:val="14"/>
          <w:lang w:val="el-GR"/>
        </w:rPr>
        <w:t>αποτελεσμάτων</w:t>
      </w:r>
      <w:r w:rsidR="009C3ADE" w:rsidRPr="009C3ADE">
        <w:rPr>
          <w:rFonts w:ascii="Arial" w:eastAsia="Arial" w:hAnsi="Arial" w:cs="Arial"/>
          <w:i/>
          <w:spacing w:val="-1"/>
          <w:sz w:val="14"/>
          <w:szCs w:val="14"/>
          <w:lang w:val="el-GR"/>
        </w:rPr>
        <w:t xml:space="preserve"> </w:t>
      </w:r>
      <w:r w:rsidR="009C3ADE">
        <w:rPr>
          <w:rFonts w:ascii="Arial" w:eastAsia="Arial" w:hAnsi="Arial" w:cs="Arial"/>
          <w:i/>
          <w:spacing w:val="-1"/>
          <w:sz w:val="14"/>
          <w:szCs w:val="14"/>
          <w:lang w:val="el-GR"/>
        </w:rPr>
        <w:t>για</w:t>
      </w:r>
      <w:r w:rsidR="009C3ADE" w:rsidRPr="009C3ADE">
        <w:rPr>
          <w:rFonts w:ascii="Arial" w:eastAsia="Arial" w:hAnsi="Arial" w:cs="Arial"/>
          <w:i/>
          <w:spacing w:val="-1"/>
          <w:sz w:val="14"/>
          <w:szCs w:val="14"/>
          <w:lang w:val="el-GR"/>
        </w:rPr>
        <w:t xml:space="preserve"> </w:t>
      </w:r>
      <w:r w:rsidR="009C3ADE">
        <w:rPr>
          <w:rFonts w:ascii="Arial" w:eastAsia="Arial" w:hAnsi="Arial" w:cs="Arial"/>
          <w:i/>
          <w:spacing w:val="-1"/>
          <w:sz w:val="14"/>
          <w:szCs w:val="14"/>
          <w:lang w:val="el-GR"/>
        </w:rPr>
        <w:t>το</w:t>
      </w:r>
      <w:r w:rsidR="009C3ADE" w:rsidRPr="009C3ADE">
        <w:rPr>
          <w:rFonts w:ascii="Arial" w:eastAsia="Arial" w:hAnsi="Arial" w:cs="Arial"/>
          <w:i/>
          <w:spacing w:val="-1"/>
          <w:sz w:val="14"/>
          <w:szCs w:val="14"/>
          <w:lang w:val="el-GR"/>
        </w:rPr>
        <w:t xml:space="preserve"> 4ο </w:t>
      </w:r>
      <w:r w:rsidR="009C3ADE">
        <w:rPr>
          <w:rFonts w:ascii="Arial" w:eastAsia="Arial" w:hAnsi="Arial" w:cs="Arial"/>
          <w:i/>
          <w:spacing w:val="-1"/>
          <w:sz w:val="14"/>
          <w:szCs w:val="14"/>
          <w:lang w:val="el-GR"/>
        </w:rPr>
        <w:t>τρίμηνο</w:t>
      </w:r>
      <w:r w:rsidR="009C3ADE" w:rsidRPr="009C3ADE">
        <w:rPr>
          <w:rFonts w:ascii="Arial" w:eastAsia="Arial" w:hAnsi="Arial" w:cs="Arial"/>
          <w:i/>
          <w:spacing w:val="-1"/>
          <w:sz w:val="14"/>
          <w:szCs w:val="14"/>
          <w:lang w:val="el-GR"/>
        </w:rPr>
        <w:t xml:space="preserve"> </w:t>
      </w:r>
      <w:r w:rsidR="009C3ADE">
        <w:rPr>
          <w:rFonts w:ascii="Arial" w:eastAsia="Arial" w:hAnsi="Arial" w:cs="Arial"/>
          <w:i/>
          <w:spacing w:val="-1"/>
          <w:sz w:val="14"/>
          <w:szCs w:val="14"/>
          <w:lang w:val="el-GR"/>
        </w:rPr>
        <w:t>του</w:t>
      </w:r>
      <w:r w:rsidR="0011714A" w:rsidRPr="003549A4">
        <w:rPr>
          <w:rFonts w:ascii="Arial" w:eastAsia="Arial" w:hAnsi="Arial" w:cs="Arial"/>
          <w:i/>
          <w:sz w:val="14"/>
          <w:szCs w:val="14"/>
          <w:lang w:val="el-GR"/>
        </w:rPr>
        <w:t xml:space="preserve"> 2016 </w:t>
      </w:r>
      <w:r w:rsidR="009C3ADE">
        <w:rPr>
          <w:rFonts w:ascii="Arial" w:eastAsia="Arial" w:hAnsi="Arial" w:cs="Arial"/>
          <w:i/>
          <w:sz w:val="14"/>
          <w:szCs w:val="14"/>
          <w:lang w:val="el-GR"/>
        </w:rPr>
        <w:t>και</w:t>
      </w:r>
      <w:r w:rsidR="009C3ADE" w:rsidRPr="009C3ADE">
        <w:rPr>
          <w:rFonts w:ascii="Arial" w:eastAsia="Arial" w:hAnsi="Arial" w:cs="Arial"/>
          <w:i/>
          <w:sz w:val="14"/>
          <w:szCs w:val="14"/>
          <w:lang w:val="el-GR"/>
        </w:rPr>
        <w:t xml:space="preserve"> </w:t>
      </w:r>
      <w:r w:rsidR="009C3ADE">
        <w:rPr>
          <w:rFonts w:ascii="Arial" w:eastAsia="Arial" w:hAnsi="Arial" w:cs="Arial"/>
          <w:i/>
          <w:sz w:val="14"/>
          <w:szCs w:val="14"/>
          <w:lang w:val="el-GR"/>
        </w:rPr>
        <w:t>για</w:t>
      </w:r>
      <w:r w:rsidR="009C3ADE" w:rsidRPr="009C3ADE">
        <w:rPr>
          <w:rFonts w:ascii="Arial" w:eastAsia="Arial" w:hAnsi="Arial" w:cs="Arial"/>
          <w:i/>
          <w:sz w:val="14"/>
          <w:szCs w:val="14"/>
          <w:lang w:val="el-GR"/>
        </w:rPr>
        <w:t xml:space="preserve"> </w:t>
      </w:r>
      <w:r w:rsidR="009C3ADE">
        <w:rPr>
          <w:rFonts w:ascii="Arial" w:eastAsia="Arial" w:hAnsi="Arial" w:cs="Arial"/>
          <w:i/>
          <w:sz w:val="14"/>
          <w:szCs w:val="14"/>
          <w:lang w:val="el-GR"/>
        </w:rPr>
        <w:t>το</w:t>
      </w:r>
      <w:r w:rsidR="0011714A" w:rsidRPr="003549A4">
        <w:rPr>
          <w:rFonts w:ascii="Arial" w:eastAsia="Arial" w:hAnsi="Arial" w:cs="Arial"/>
          <w:i/>
          <w:sz w:val="14"/>
          <w:szCs w:val="14"/>
          <w:lang w:val="el-GR"/>
        </w:rPr>
        <w:t xml:space="preserve"> 2016 </w:t>
      </w:r>
      <w:r w:rsidR="009C3ADE">
        <w:rPr>
          <w:rFonts w:ascii="Arial" w:eastAsia="Arial" w:hAnsi="Arial" w:cs="Arial"/>
          <w:i/>
          <w:spacing w:val="5"/>
          <w:sz w:val="14"/>
          <w:szCs w:val="14"/>
          <w:lang w:val="el-GR"/>
        </w:rPr>
        <w:t>παρέχεται στο Παράρτημα</w:t>
      </w:r>
      <w:r w:rsidR="009C3ADE" w:rsidRPr="00924630">
        <w:rPr>
          <w:rFonts w:ascii="Arial" w:eastAsia="Arial" w:hAnsi="Arial" w:cs="Arial"/>
          <w:i/>
          <w:spacing w:val="5"/>
          <w:sz w:val="14"/>
          <w:szCs w:val="14"/>
          <w:lang w:val="el-GR"/>
        </w:rPr>
        <w:t xml:space="preserve"> </w:t>
      </w:r>
      <w:r w:rsidR="009C3ADE" w:rsidRPr="00924630">
        <w:rPr>
          <w:rFonts w:ascii="Arial" w:eastAsia="Arial" w:hAnsi="Arial" w:cs="Arial"/>
          <w:i/>
          <w:sz w:val="14"/>
          <w:szCs w:val="14"/>
          <w:lang w:val="el-GR"/>
        </w:rPr>
        <w:t>4</w:t>
      </w:r>
      <w:r w:rsidR="009C3ADE" w:rsidRPr="00924630">
        <w:rPr>
          <w:rFonts w:ascii="Arial" w:eastAsia="Arial" w:hAnsi="Arial" w:cs="Arial"/>
          <w:i/>
          <w:spacing w:val="7"/>
          <w:sz w:val="14"/>
          <w:szCs w:val="14"/>
          <w:lang w:val="el-GR"/>
        </w:rPr>
        <w:t xml:space="preserve"> </w:t>
      </w:r>
      <w:r w:rsidR="009C3ADE">
        <w:rPr>
          <w:rFonts w:ascii="Arial" w:eastAsia="Arial" w:hAnsi="Arial" w:cs="Arial"/>
          <w:i/>
          <w:spacing w:val="7"/>
          <w:sz w:val="14"/>
          <w:szCs w:val="14"/>
          <w:lang w:val="el-GR"/>
        </w:rPr>
        <w:t xml:space="preserve">του πλήρους δελτίου τύπου στα αγγλικά που βρίσκεται στο </w:t>
      </w:r>
      <w:hyperlink r:id="rId7" w:history="1">
        <w:r w:rsidR="009C3ADE" w:rsidRPr="00E20CCA">
          <w:rPr>
            <w:rStyle w:val="Hyperlink"/>
            <w:rFonts w:ascii="Arial" w:eastAsia="Arial" w:hAnsi="Arial" w:cs="Arial"/>
            <w:i/>
            <w:spacing w:val="7"/>
            <w:sz w:val="14"/>
            <w:szCs w:val="14"/>
          </w:rPr>
          <w:t>www</w:t>
        </w:r>
        <w:r w:rsidR="009C3ADE" w:rsidRPr="008A4ACE">
          <w:rPr>
            <w:rStyle w:val="Hyperlink"/>
            <w:rFonts w:ascii="Arial" w:eastAsia="Arial" w:hAnsi="Arial" w:cs="Arial"/>
            <w:i/>
            <w:spacing w:val="7"/>
            <w:sz w:val="14"/>
            <w:szCs w:val="14"/>
            <w:lang w:val="el-GR"/>
          </w:rPr>
          <w:t>.</w:t>
        </w:r>
        <w:r w:rsidR="009C3ADE" w:rsidRPr="00E20CCA">
          <w:rPr>
            <w:rStyle w:val="Hyperlink"/>
            <w:rFonts w:ascii="Arial" w:eastAsia="Arial" w:hAnsi="Arial" w:cs="Arial"/>
            <w:i/>
            <w:spacing w:val="7"/>
            <w:sz w:val="14"/>
            <w:szCs w:val="14"/>
          </w:rPr>
          <w:t>sanofi</w:t>
        </w:r>
        <w:r w:rsidR="009C3ADE" w:rsidRPr="008A4ACE">
          <w:rPr>
            <w:rStyle w:val="Hyperlink"/>
            <w:rFonts w:ascii="Arial" w:eastAsia="Arial" w:hAnsi="Arial" w:cs="Arial"/>
            <w:i/>
            <w:spacing w:val="7"/>
            <w:sz w:val="14"/>
            <w:szCs w:val="14"/>
            <w:lang w:val="el-GR"/>
          </w:rPr>
          <w:t>.</w:t>
        </w:r>
        <w:r w:rsidR="009C3ADE" w:rsidRPr="00E20CCA">
          <w:rPr>
            <w:rStyle w:val="Hyperlink"/>
            <w:rFonts w:ascii="Arial" w:eastAsia="Arial" w:hAnsi="Arial" w:cs="Arial"/>
            <w:i/>
            <w:spacing w:val="7"/>
            <w:sz w:val="14"/>
            <w:szCs w:val="14"/>
          </w:rPr>
          <w:t>com</w:t>
        </w:r>
      </w:hyperlink>
      <w:r w:rsidR="009C3ADE" w:rsidRPr="008A4ACE">
        <w:rPr>
          <w:rFonts w:ascii="Arial" w:eastAsia="Arial" w:hAnsi="Arial" w:cs="Arial"/>
          <w:i/>
          <w:spacing w:val="7"/>
          <w:sz w:val="14"/>
          <w:szCs w:val="14"/>
          <w:lang w:val="el-GR"/>
        </w:rPr>
        <w:t xml:space="preserve"> </w:t>
      </w:r>
      <w:r w:rsidR="009C3ADE">
        <w:rPr>
          <w:rFonts w:ascii="Arial" w:eastAsia="Arial" w:hAnsi="Arial" w:cs="Arial"/>
          <w:i/>
          <w:spacing w:val="7"/>
          <w:sz w:val="14"/>
          <w:szCs w:val="14"/>
          <w:lang w:val="el-GR"/>
        </w:rPr>
        <w:t xml:space="preserve">και ο πίνακας της συμφωνίας των καθαρών κερδών δραστηριοτήτων με τα δημοσιευμένα καθαρά κέρδη βάσει </w:t>
      </w:r>
      <w:r w:rsidR="009C3ADE">
        <w:rPr>
          <w:rFonts w:ascii="Arial" w:eastAsia="Arial" w:hAnsi="Arial" w:cs="Arial"/>
          <w:i/>
          <w:spacing w:val="-1"/>
          <w:sz w:val="14"/>
          <w:szCs w:val="14"/>
        </w:rPr>
        <w:t>IFRS</w:t>
      </w:r>
      <w:r w:rsidR="009C3ADE" w:rsidRPr="00924630">
        <w:rPr>
          <w:rFonts w:ascii="Arial" w:eastAsia="Arial" w:hAnsi="Arial" w:cs="Arial"/>
          <w:i/>
          <w:spacing w:val="2"/>
          <w:sz w:val="14"/>
          <w:szCs w:val="14"/>
          <w:lang w:val="el-GR"/>
        </w:rPr>
        <w:t xml:space="preserve"> </w:t>
      </w:r>
      <w:r w:rsidR="009C3ADE">
        <w:rPr>
          <w:rFonts w:ascii="Arial" w:eastAsia="Arial" w:hAnsi="Arial" w:cs="Arial"/>
          <w:i/>
          <w:spacing w:val="2"/>
          <w:sz w:val="14"/>
          <w:szCs w:val="14"/>
          <w:lang w:val="el-GR"/>
        </w:rPr>
        <w:t>βρίσκεται στο Παράρτημα</w:t>
      </w:r>
      <w:r w:rsidR="009C3ADE" w:rsidRPr="00924630">
        <w:rPr>
          <w:rFonts w:ascii="Arial" w:eastAsia="Arial" w:hAnsi="Arial" w:cs="Arial"/>
          <w:i/>
          <w:spacing w:val="1"/>
          <w:sz w:val="14"/>
          <w:szCs w:val="14"/>
          <w:lang w:val="el-GR"/>
        </w:rPr>
        <w:t xml:space="preserve"> </w:t>
      </w:r>
      <w:r w:rsidR="009C3ADE">
        <w:rPr>
          <w:rFonts w:ascii="Arial" w:eastAsia="Arial" w:hAnsi="Arial" w:cs="Arial"/>
          <w:i/>
          <w:spacing w:val="-1"/>
          <w:sz w:val="14"/>
          <w:szCs w:val="14"/>
          <w:lang w:val="el-GR"/>
        </w:rPr>
        <w:t>3</w:t>
      </w:r>
      <w:r w:rsidR="009C3ADE">
        <w:rPr>
          <w:rFonts w:ascii="Arial" w:eastAsia="Arial" w:hAnsi="Arial" w:cs="Arial"/>
          <w:i/>
          <w:sz w:val="14"/>
          <w:szCs w:val="14"/>
          <w:lang w:val="el-GR"/>
        </w:rPr>
        <w:t xml:space="preserve">. </w:t>
      </w:r>
      <w:r w:rsidR="0011714A" w:rsidRPr="003549A4">
        <w:rPr>
          <w:rFonts w:ascii="Arial" w:eastAsia="Arial" w:hAnsi="Arial" w:cs="Arial"/>
          <w:i/>
          <w:sz w:val="14"/>
          <w:szCs w:val="14"/>
          <w:lang w:val="el-GR"/>
        </w:rPr>
        <w:t xml:space="preserve">(2) </w:t>
      </w:r>
      <w:r w:rsidR="009C3ADE">
        <w:rPr>
          <w:rFonts w:ascii="Arial" w:eastAsia="Arial" w:hAnsi="Arial" w:cs="Arial"/>
          <w:i/>
          <w:sz w:val="14"/>
          <w:szCs w:val="14"/>
          <w:lang w:val="el-GR"/>
        </w:rPr>
        <w:t>Οι</w:t>
      </w:r>
      <w:r w:rsidR="009C3ADE" w:rsidRPr="00924630">
        <w:rPr>
          <w:rFonts w:ascii="Arial" w:eastAsia="Arial" w:hAnsi="Arial" w:cs="Arial"/>
          <w:i/>
          <w:sz w:val="14"/>
          <w:szCs w:val="14"/>
          <w:lang w:val="el-GR"/>
        </w:rPr>
        <w:t xml:space="preserve"> </w:t>
      </w:r>
      <w:r w:rsidR="009C3ADE">
        <w:rPr>
          <w:rFonts w:ascii="Arial" w:eastAsia="Arial" w:hAnsi="Arial" w:cs="Arial"/>
          <w:i/>
          <w:sz w:val="14"/>
          <w:szCs w:val="14"/>
          <w:lang w:val="el-GR"/>
        </w:rPr>
        <w:t>ποσοστιαίες</w:t>
      </w:r>
      <w:r w:rsidR="009C3ADE" w:rsidRPr="00924630">
        <w:rPr>
          <w:rFonts w:ascii="Arial" w:eastAsia="Arial" w:hAnsi="Arial" w:cs="Arial"/>
          <w:i/>
          <w:sz w:val="14"/>
          <w:szCs w:val="14"/>
          <w:lang w:val="el-GR"/>
        </w:rPr>
        <w:t xml:space="preserve"> </w:t>
      </w:r>
      <w:r w:rsidR="009C3ADE">
        <w:rPr>
          <w:rFonts w:ascii="Arial" w:eastAsia="Arial" w:hAnsi="Arial" w:cs="Arial"/>
          <w:i/>
          <w:sz w:val="14"/>
          <w:szCs w:val="14"/>
          <w:lang w:val="el-GR"/>
        </w:rPr>
        <w:t>μεταβολές</w:t>
      </w:r>
      <w:r w:rsidR="009C3ADE" w:rsidRPr="00924630">
        <w:rPr>
          <w:rFonts w:ascii="Arial" w:eastAsia="Arial" w:hAnsi="Arial" w:cs="Arial"/>
          <w:i/>
          <w:sz w:val="14"/>
          <w:szCs w:val="14"/>
          <w:lang w:val="el-GR"/>
        </w:rPr>
        <w:t xml:space="preserve"> </w:t>
      </w:r>
      <w:r w:rsidR="009C3ADE">
        <w:rPr>
          <w:rFonts w:ascii="Arial" w:eastAsia="Arial" w:hAnsi="Arial" w:cs="Arial"/>
          <w:i/>
          <w:sz w:val="14"/>
          <w:szCs w:val="14"/>
          <w:lang w:val="el-GR"/>
        </w:rPr>
        <w:t>στις</w:t>
      </w:r>
      <w:r w:rsidR="009C3ADE" w:rsidRPr="00924630">
        <w:rPr>
          <w:rFonts w:ascii="Arial" w:eastAsia="Arial" w:hAnsi="Arial" w:cs="Arial"/>
          <w:i/>
          <w:sz w:val="14"/>
          <w:szCs w:val="14"/>
          <w:lang w:val="el-GR"/>
        </w:rPr>
        <w:t xml:space="preserve"> </w:t>
      </w:r>
      <w:r w:rsidR="009C3ADE">
        <w:rPr>
          <w:rFonts w:ascii="Arial" w:eastAsia="Arial" w:hAnsi="Arial" w:cs="Arial"/>
          <w:i/>
          <w:sz w:val="14"/>
          <w:szCs w:val="14"/>
          <w:lang w:val="el-GR"/>
        </w:rPr>
        <w:t>καθαρές</w:t>
      </w:r>
      <w:r w:rsidR="009C3ADE" w:rsidRPr="00924630">
        <w:rPr>
          <w:rFonts w:ascii="Arial" w:eastAsia="Arial" w:hAnsi="Arial" w:cs="Arial"/>
          <w:i/>
          <w:sz w:val="14"/>
          <w:szCs w:val="14"/>
          <w:lang w:val="el-GR"/>
        </w:rPr>
        <w:t xml:space="preserve"> </w:t>
      </w:r>
      <w:r w:rsidR="009C3ADE">
        <w:rPr>
          <w:rFonts w:ascii="Arial" w:eastAsia="Arial" w:hAnsi="Arial" w:cs="Arial"/>
          <w:i/>
          <w:sz w:val="14"/>
          <w:szCs w:val="14"/>
          <w:lang w:val="el-GR"/>
        </w:rPr>
        <w:t>πωλήσεις</w:t>
      </w:r>
      <w:r w:rsidR="009C3ADE" w:rsidRPr="00924630">
        <w:rPr>
          <w:rFonts w:ascii="Arial" w:eastAsia="Arial" w:hAnsi="Arial" w:cs="Arial"/>
          <w:i/>
          <w:sz w:val="14"/>
          <w:szCs w:val="14"/>
          <w:lang w:val="el-GR"/>
        </w:rPr>
        <w:t xml:space="preserve"> </w:t>
      </w:r>
      <w:r w:rsidR="009C3ADE">
        <w:rPr>
          <w:rFonts w:ascii="Arial" w:eastAsia="Arial" w:hAnsi="Arial" w:cs="Arial"/>
          <w:i/>
          <w:sz w:val="14"/>
          <w:szCs w:val="14"/>
          <w:lang w:val="el-GR"/>
        </w:rPr>
        <w:t>και</w:t>
      </w:r>
      <w:r w:rsidR="009C3ADE" w:rsidRPr="00924630">
        <w:rPr>
          <w:rFonts w:ascii="Arial" w:eastAsia="Arial" w:hAnsi="Arial" w:cs="Arial"/>
          <w:i/>
          <w:sz w:val="14"/>
          <w:szCs w:val="14"/>
          <w:lang w:val="el-GR"/>
        </w:rPr>
        <w:t xml:space="preserve"> </w:t>
      </w:r>
      <w:r w:rsidR="009C3ADE">
        <w:rPr>
          <w:rFonts w:ascii="Arial" w:eastAsia="Arial" w:hAnsi="Arial" w:cs="Arial"/>
          <w:i/>
          <w:sz w:val="14"/>
          <w:szCs w:val="14"/>
          <w:lang w:val="el-GR"/>
        </w:rPr>
        <w:t>τις</w:t>
      </w:r>
      <w:r w:rsidR="009C3ADE" w:rsidRPr="00924630">
        <w:rPr>
          <w:rFonts w:ascii="Arial" w:eastAsia="Arial" w:hAnsi="Arial" w:cs="Arial"/>
          <w:i/>
          <w:sz w:val="14"/>
          <w:szCs w:val="14"/>
          <w:lang w:val="el-GR"/>
        </w:rPr>
        <w:t xml:space="preserve"> </w:t>
      </w:r>
      <w:r w:rsidR="009C3ADE">
        <w:rPr>
          <w:rFonts w:ascii="Arial" w:eastAsia="Arial" w:hAnsi="Arial" w:cs="Arial"/>
          <w:i/>
          <w:sz w:val="14"/>
          <w:szCs w:val="14"/>
          <w:lang w:val="el-GR"/>
        </w:rPr>
        <w:t>συνολικές</w:t>
      </w:r>
      <w:r w:rsidR="009C3ADE" w:rsidRPr="00924630">
        <w:rPr>
          <w:rFonts w:ascii="Arial" w:eastAsia="Arial" w:hAnsi="Arial" w:cs="Arial"/>
          <w:i/>
          <w:sz w:val="14"/>
          <w:szCs w:val="14"/>
          <w:lang w:val="el-GR"/>
        </w:rPr>
        <w:t xml:space="preserve"> </w:t>
      </w:r>
      <w:r w:rsidR="009C3ADE">
        <w:rPr>
          <w:rFonts w:ascii="Arial" w:eastAsia="Arial" w:hAnsi="Arial" w:cs="Arial"/>
          <w:i/>
          <w:sz w:val="14"/>
          <w:szCs w:val="14"/>
          <w:lang w:val="el-GR"/>
        </w:rPr>
        <w:t>πωλήσεις</w:t>
      </w:r>
      <w:r w:rsidR="009C3ADE" w:rsidRPr="00924630">
        <w:rPr>
          <w:rFonts w:ascii="Arial" w:eastAsia="Arial" w:hAnsi="Arial" w:cs="Arial"/>
          <w:i/>
          <w:sz w:val="14"/>
          <w:szCs w:val="14"/>
          <w:lang w:val="el-GR"/>
        </w:rPr>
        <w:t xml:space="preserve"> </w:t>
      </w:r>
      <w:r w:rsidR="009C3ADE">
        <w:rPr>
          <w:rFonts w:ascii="Arial" w:eastAsia="Arial" w:hAnsi="Arial" w:cs="Arial"/>
          <w:i/>
          <w:sz w:val="14"/>
          <w:szCs w:val="14"/>
          <w:lang w:val="el-GR"/>
        </w:rPr>
        <w:t>εκφράζονται</w:t>
      </w:r>
      <w:r w:rsidR="009C3ADE" w:rsidRPr="00924630">
        <w:rPr>
          <w:rFonts w:ascii="Arial" w:eastAsia="Arial" w:hAnsi="Arial" w:cs="Arial"/>
          <w:i/>
          <w:sz w:val="14"/>
          <w:szCs w:val="14"/>
          <w:lang w:val="el-GR"/>
        </w:rPr>
        <w:t xml:space="preserve"> </w:t>
      </w:r>
      <w:r w:rsidR="009C3ADE">
        <w:rPr>
          <w:rFonts w:ascii="Arial" w:eastAsia="Arial" w:hAnsi="Arial" w:cs="Arial"/>
          <w:i/>
          <w:sz w:val="14"/>
          <w:szCs w:val="14"/>
          <w:lang w:val="el-GR"/>
        </w:rPr>
        <w:t>σε</w:t>
      </w:r>
      <w:r w:rsidR="009C3ADE" w:rsidRPr="00924630">
        <w:rPr>
          <w:rFonts w:ascii="Arial" w:eastAsia="Arial" w:hAnsi="Arial" w:cs="Arial"/>
          <w:i/>
          <w:sz w:val="14"/>
          <w:szCs w:val="14"/>
          <w:lang w:val="el-GR"/>
        </w:rPr>
        <w:t xml:space="preserve"> </w:t>
      </w:r>
      <w:r w:rsidR="009C3ADE">
        <w:rPr>
          <w:rFonts w:ascii="Arial" w:eastAsia="Arial" w:hAnsi="Arial" w:cs="Arial"/>
          <w:i/>
          <w:sz w:val="14"/>
          <w:szCs w:val="14"/>
          <w:lang w:val="el-GR"/>
        </w:rPr>
        <w:t>σταθερές</w:t>
      </w:r>
      <w:r w:rsidR="009C3ADE" w:rsidRPr="00924630">
        <w:rPr>
          <w:rFonts w:ascii="Arial" w:eastAsia="Arial" w:hAnsi="Arial" w:cs="Arial"/>
          <w:i/>
          <w:sz w:val="14"/>
          <w:szCs w:val="14"/>
          <w:lang w:val="el-GR"/>
        </w:rPr>
        <w:t xml:space="preserve"> </w:t>
      </w:r>
      <w:r w:rsidR="009C3ADE">
        <w:rPr>
          <w:rFonts w:ascii="Arial" w:eastAsia="Arial" w:hAnsi="Arial" w:cs="Arial"/>
          <w:i/>
          <w:sz w:val="14"/>
          <w:szCs w:val="14"/>
          <w:lang w:val="el-GR"/>
        </w:rPr>
        <w:t>τιμές</w:t>
      </w:r>
      <w:r w:rsidR="009C3ADE" w:rsidRPr="00924630">
        <w:rPr>
          <w:rFonts w:ascii="Arial" w:eastAsia="Arial" w:hAnsi="Arial" w:cs="Arial"/>
          <w:i/>
          <w:sz w:val="14"/>
          <w:szCs w:val="14"/>
          <w:lang w:val="el-GR"/>
        </w:rPr>
        <w:t xml:space="preserve"> </w:t>
      </w:r>
      <w:r w:rsidR="009C3ADE">
        <w:rPr>
          <w:rFonts w:ascii="Arial" w:eastAsia="Arial" w:hAnsi="Arial" w:cs="Arial"/>
          <w:i/>
          <w:sz w:val="14"/>
          <w:szCs w:val="14"/>
          <w:lang w:val="el-GR"/>
        </w:rPr>
        <w:t>συναλλάγματος</w:t>
      </w:r>
      <w:r w:rsidR="009C3ADE" w:rsidRPr="00924630">
        <w:rPr>
          <w:rFonts w:ascii="Arial" w:eastAsia="Arial" w:hAnsi="Arial" w:cs="Arial"/>
          <w:i/>
          <w:spacing w:val="-5"/>
          <w:sz w:val="14"/>
          <w:szCs w:val="14"/>
          <w:lang w:val="el-GR"/>
        </w:rPr>
        <w:t xml:space="preserve"> </w:t>
      </w:r>
      <w:r w:rsidR="009C3ADE" w:rsidRPr="00924630">
        <w:rPr>
          <w:rFonts w:ascii="Arial" w:eastAsia="Arial" w:hAnsi="Arial" w:cs="Arial"/>
          <w:i/>
          <w:spacing w:val="-1"/>
          <w:sz w:val="14"/>
          <w:szCs w:val="14"/>
          <w:lang w:val="el-GR"/>
        </w:rPr>
        <w:t>(</w:t>
      </w:r>
      <w:r w:rsidR="009C3ADE">
        <w:rPr>
          <w:rFonts w:ascii="Arial" w:eastAsia="Arial" w:hAnsi="Arial" w:cs="Arial"/>
          <w:i/>
          <w:spacing w:val="-1"/>
          <w:sz w:val="14"/>
          <w:szCs w:val="14"/>
        </w:rPr>
        <w:t>CER</w:t>
      </w:r>
      <w:r w:rsidR="009C3ADE" w:rsidRPr="00924630">
        <w:rPr>
          <w:rFonts w:ascii="Arial" w:eastAsia="Arial" w:hAnsi="Arial" w:cs="Arial"/>
          <w:i/>
          <w:spacing w:val="-1"/>
          <w:sz w:val="14"/>
          <w:szCs w:val="14"/>
          <w:lang w:val="el-GR"/>
        </w:rPr>
        <w:t>)</w:t>
      </w:r>
      <w:r w:rsidR="009C3ADE" w:rsidRPr="00924630">
        <w:rPr>
          <w:rFonts w:ascii="Arial" w:eastAsia="Arial" w:hAnsi="Arial" w:cs="Arial"/>
          <w:i/>
          <w:spacing w:val="-4"/>
          <w:sz w:val="14"/>
          <w:szCs w:val="14"/>
          <w:lang w:val="el-GR"/>
        </w:rPr>
        <w:t xml:space="preserve"> </w:t>
      </w:r>
      <w:r w:rsidR="009C3ADE" w:rsidRPr="00924630">
        <w:rPr>
          <w:rFonts w:ascii="Arial" w:eastAsia="Arial" w:hAnsi="Arial" w:cs="Arial"/>
          <w:i/>
          <w:spacing w:val="-1"/>
          <w:sz w:val="14"/>
          <w:szCs w:val="14"/>
          <w:lang w:val="el-GR"/>
        </w:rPr>
        <w:t>εκτ</w:t>
      </w:r>
      <w:r w:rsidR="009C3ADE">
        <w:rPr>
          <w:rFonts w:ascii="Arial" w:eastAsia="Arial" w:hAnsi="Arial" w:cs="Arial"/>
          <w:i/>
          <w:spacing w:val="-1"/>
          <w:sz w:val="14"/>
          <w:szCs w:val="14"/>
          <w:lang w:val="el-GR"/>
        </w:rPr>
        <w:t>ός</w:t>
      </w:r>
      <w:r w:rsidR="009C3ADE" w:rsidRPr="00924630">
        <w:rPr>
          <w:rFonts w:ascii="Arial" w:eastAsia="Arial" w:hAnsi="Arial" w:cs="Arial"/>
          <w:i/>
          <w:spacing w:val="-1"/>
          <w:sz w:val="14"/>
          <w:szCs w:val="14"/>
          <w:lang w:val="el-GR"/>
        </w:rPr>
        <w:t xml:space="preserve"> </w:t>
      </w:r>
      <w:r w:rsidR="009C3ADE">
        <w:rPr>
          <w:rFonts w:ascii="Arial" w:eastAsia="Arial" w:hAnsi="Arial" w:cs="Arial"/>
          <w:i/>
          <w:spacing w:val="-1"/>
          <w:sz w:val="14"/>
          <w:szCs w:val="14"/>
          <w:lang w:val="el-GR"/>
        </w:rPr>
        <w:t>εάν</w:t>
      </w:r>
      <w:r w:rsidR="009C3ADE" w:rsidRPr="00924630">
        <w:rPr>
          <w:rFonts w:ascii="Arial" w:eastAsia="Arial" w:hAnsi="Arial" w:cs="Arial"/>
          <w:i/>
          <w:spacing w:val="-1"/>
          <w:sz w:val="14"/>
          <w:szCs w:val="14"/>
          <w:lang w:val="el-GR"/>
        </w:rPr>
        <w:t xml:space="preserve"> </w:t>
      </w:r>
      <w:r w:rsidR="009C3ADE">
        <w:rPr>
          <w:rFonts w:ascii="Arial" w:eastAsia="Arial" w:hAnsi="Arial" w:cs="Arial"/>
          <w:i/>
          <w:spacing w:val="-1"/>
          <w:sz w:val="14"/>
          <w:szCs w:val="14"/>
          <w:lang w:val="el-GR"/>
        </w:rPr>
        <w:t>αναφέρεται</w:t>
      </w:r>
      <w:r w:rsidR="009C3ADE" w:rsidRPr="00924630">
        <w:rPr>
          <w:rFonts w:ascii="Arial" w:eastAsia="Arial" w:hAnsi="Arial" w:cs="Arial"/>
          <w:i/>
          <w:spacing w:val="-1"/>
          <w:sz w:val="14"/>
          <w:szCs w:val="14"/>
          <w:lang w:val="el-GR"/>
        </w:rPr>
        <w:t xml:space="preserve"> </w:t>
      </w:r>
      <w:r w:rsidR="009C3ADE">
        <w:rPr>
          <w:rFonts w:ascii="Arial" w:eastAsia="Arial" w:hAnsi="Arial" w:cs="Arial"/>
          <w:i/>
          <w:spacing w:val="-1"/>
          <w:sz w:val="14"/>
          <w:szCs w:val="14"/>
          <w:lang w:val="el-GR"/>
        </w:rPr>
        <w:t>διαφορετικά</w:t>
      </w:r>
      <w:r w:rsidR="009C3ADE" w:rsidRPr="00924630">
        <w:rPr>
          <w:rFonts w:ascii="Arial" w:eastAsia="Arial" w:hAnsi="Arial" w:cs="Arial"/>
          <w:i/>
          <w:spacing w:val="-1"/>
          <w:sz w:val="14"/>
          <w:szCs w:val="14"/>
          <w:lang w:val="el-GR"/>
        </w:rPr>
        <w:t xml:space="preserve"> (βλ</w:t>
      </w:r>
      <w:r w:rsidR="009C3ADE">
        <w:rPr>
          <w:rFonts w:ascii="Arial" w:eastAsia="Arial" w:hAnsi="Arial" w:cs="Arial"/>
          <w:i/>
          <w:spacing w:val="-1"/>
          <w:sz w:val="14"/>
          <w:szCs w:val="14"/>
          <w:lang w:val="el-GR"/>
        </w:rPr>
        <w:t>έπε</w:t>
      </w:r>
      <w:r w:rsidR="009C3ADE" w:rsidRPr="00924630">
        <w:rPr>
          <w:rFonts w:ascii="Arial" w:eastAsia="Arial" w:hAnsi="Arial" w:cs="Arial"/>
          <w:i/>
          <w:spacing w:val="-1"/>
          <w:sz w:val="14"/>
          <w:szCs w:val="14"/>
          <w:lang w:val="el-GR"/>
        </w:rPr>
        <w:t xml:space="preserve"> </w:t>
      </w:r>
      <w:r w:rsidR="009C3ADE">
        <w:rPr>
          <w:rFonts w:ascii="Arial" w:eastAsia="Arial" w:hAnsi="Arial" w:cs="Arial"/>
          <w:i/>
          <w:spacing w:val="-1"/>
          <w:sz w:val="14"/>
          <w:szCs w:val="14"/>
          <w:lang w:val="el-GR"/>
        </w:rPr>
        <w:t>Παράρτημα</w:t>
      </w:r>
      <w:r w:rsidR="009C3ADE" w:rsidRPr="00924630">
        <w:rPr>
          <w:rFonts w:ascii="Arial" w:eastAsia="Arial" w:hAnsi="Arial" w:cs="Arial"/>
          <w:i/>
          <w:spacing w:val="-2"/>
          <w:sz w:val="14"/>
          <w:szCs w:val="14"/>
          <w:lang w:val="el-GR"/>
        </w:rPr>
        <w:t xml:space="preserve"> </w:t>
      </w:r>
      <w:r w:rsidR="009C3ADE">
        <w:rPr>
          <w:rFonts w:ascii="Arial" w:eastAsia="Arial" w:hAnsi="Arial" w:cs="Arial"/>
          <w:i/>
          <w:spacing w:val="-1"/>
          <w:sz w:val="14"/>
          <w:szCs w:val="14"/>
          <w:lang w:val="el-GR"/>
        </w:rPr>
        <w:t>11</w:t>
      </w:r>
      <w:r w:rsidR="009C3ADE" w:rsidRPr="00924630">
        <w:rPr>
          <w:rFonts w:ascii="Arial" w:eastAsia="Arial" w:hAnsi="Arial" w:cs="Arial"/>
          <w:i/>
          <w:spacing w:val="-1"/>
          <w:sz w:val="14"/>
          <w:szCs w:val="14"/>
          <w:lang w:val="el-GR"/>
        </w:rPr>
        <w:t>).</w:t>
      </w:r>
      <w:r w:rsidR="009C3ADE" w:rsidRPr="00924630">
        <w:rPr>
          <w:rFonts w:ascii="Arial" w:eastAsia="Arial" w:hAnsi="Arial" w:cs="Arial"/>
          <w:i/>
          <w:spacing w:val="-3"/>
          <w:sz w:val="14"/>
          <w:szCs w:val="14"/>
          <w:lang w:val="el-GR"/>
        </w:rPr>
        <w:t xml:space="preserve"> </w:t>
      </w:r>
      <w:r w:rsidR="0011714A" w:rsidRPr="003549A4">
        <w:rPr>
          <w:rFonts w:ascii="Arial" w:eastAsia="Arial" w:hAnsi="Arial" w:cs="Arial"/>
          <w:i/>
          <w:sz w:val="14"/>
          <w:szCs w:val="14"/>
          <w:lang w:val="el-GR"/>
        </w:rPr>
        <w:t xml:space="preserve">(3) </w:t>
      </w:r>
      <w:r w:rsidR="009C3ADE">
        <w:rPr>
          <w:rFonts w:ascii="Arial" w:eastAsia="Arial" w:hAnsi="Arial" w:cs="Arial"/>
          <w:i/>
          <w:sz w:val="14"/>
          <w:szCs w:val="14"/>
          <w:lang w:val="el-GR"/>
        </w:rPr>
        <w:t>Στοιχεία</w:t>
      </w:r>
      <w:r w:rsidR="009C3ADE" w:rsidRPr="009C3ADE">
        <w:rPr>
          <w:rFonts w:ascii="Arial" w:eastAsia="Arial" w:hAnsi="Arial" w:cs="Arial"/>
          <w:i/>
          <w:sz w:val="14"/>
          <w:szCs w:val="14"/>
          <w:lang w:val="el-GR"/>
        </w:rPr>
        <w:t xml:space="preserve"> </w:t>
      </w:r>
      <w:r w:rsidR="009C3ADE">
        <w:rPr>
          <w:rFonts w:ascii="Arial" w:eastAsia="Arial" w:hAnsi="Arial" w:cs="Arial"/>
          <w:i/>
          <w:sz w:val="14"/>
          <w:szCs w:val="14"/>
          <w:lang w:val="el-GR"/>
        </w:rPr>
        <w:t>για</w:t>
      </w:r>
      <w:r w:rsidR="009C3ADE" w:rsidRPr="009C3ADE">
        <w:rPr>
          <w:rFonts w:ascii="Arial" w:eastAsia="Arial" w:hAnsi="Arial" w:cs="Arial"/>
          <w:i/>
          <w:sz w:val="14"/>
          <w:szCs w:val="14"/>
          <w:lang w:val="el-GR"/>
        </w:rPr>
        <w:t xml:space="preserve"> </w:t>
      </w:r>
      <w:r w:rsidR="009C3ADE">
        <w:rPr>
          <w:rFonts w:ascii="Arial" w:eastAsia="Arial" w:hAnsi="Arial" w:cs="Arial"/>
          <w:i/>
          <w:sz w:val="14"/>
          <w:szCs w:val="14"/>
          <w:lang w:val="el-GR"/>
        </w:rPr>
        <w:t>τη</w:t>
      </w:r>
      <w:r w:rsidR="009C3ADE" w:rsidRPr="009C3ADE">
        <w:rPr>
          <w:rFonts w:ascii="Arial" w:eastAsia="Arial" w:hAnsi="Arial" w:cs="Arial"/>
          <w:i/>
          <w:sz w:val="14"/>
          <w:szCs w:val="14"/>
          <w:lang w:val="el-GR"/>
        </w:rPr>
        <w:t xml:space="preserve"> </w:t>
      </w:r>
      <w:proofErr w:type="spellStart"/>
      <w:r w:rsidR="009C3ADE">
        <w:rPr>
          <w:rFonts w:ascii="Arial" w:eastAsia="Arial" w:hAnsi="Arial" w:cs="Arial"/>
          <w:i/>
          <w:sz w:val="14"/>
          <w:szCs w:val="14"/>
        </w:rPr>
        <w:t>Merial</w:t>
      </w:r>
      <w:proofErr w:type="spellEnd"/>
      <w:r w:rsidR="009C3ADE" w:rsidRPr="009C3ADE">
        <w:rPr>
          <w:rFonts w:ascii="Arial" w:eastAsia="Arial" w:hAnsi="Arial" w:cs="Arial"/>
          <w:i/>
          <w:sz w:val="14"/>
          <w:szCs w:val="14"/>
          <w:lang w:val="el-GR"/>
        </w:rPr>
        <w:t xml:space="preserve"> παρ</w:t>
      </w:r>
      <w:r w:rsidR="009C3ADE">
        <w:rPr>
          <w:rFonts w:ascii="Arial" w:eastAsia="Arial" w:hAnsi="Arial" w:cs="Arial"/>
          <w:i/>
          <w:sz w:val="14"/>
          <w:szCs w:val="14"/>
          <w:lang w:val="el-GR"/>
        </w:rPr>
        <w:t>έχονται</w:t>
      </w:r>
      <w:r w:rsidR="009C3ADE" w:rsidRPr="009C3ADE">
        <w:rPr>
          <w:rFonts w:ascii="Arial" w:eastAsia="Arial" w:hAnsi="Arial" w:cs="Arial"/>
          <w:i/>
          <w:sz w:val="14"/>
          <w:szCs w:val="14"/>
          <w:lang w:val="el-GR"/>
        </w:rPr>
        <w:t xml:space="preserve"> </w:t>
      </w:r>
      <w:r w:rsidR="009C3ADE">
        <w:rPr>
          <w:rFonts w:ascii="Arial" w:eastAsia="Arial" w:hAnsi="Arial" w:cs="Arial"/>
          <w:i/>
          <w:sz w:val="14"/>
          <w:szCs w:val="14"/>
          <w:lang w:val="el-GR"/>
        </w:rPr>
        <w:t>στο</w:t>
      </w:r>
      <w:r w:rsidR="009C3ADE" w:rsidRPr="009C3ADE">
        <w:rPr>
          <w:rFonts w:ascii="Arial" w:eastAsia="Arial" w:hAnsi="Arial" w:cs="Arial"/>
          <w:i/>
          <w:sz w:val="14"/>
          <w:szCs w:val="14"/>
          <w:lang w:val="el-GR"/>
        </w:rPr>
        <w:t xml:space="preserve"> </w:t>
      </w:r>
      <w:r w:rsidR="009C3ADE">
        <w:rPr>
          <w:rFonts w:ascii="Arial" w:eastAsia="Arial" w:hAnsi="Arial" w:cs="Arial"/>
          <w:i/>
          <w:sz w:val="14"/>
          <w:szCs w:val="14"/>
          <w:lang w:val="el-GR"/>
        </w:rPr>
        <w:t>παράρτημα</w:t>
      </w:r>
      <w:r w:rsidR="009C3ADE" w:rsidRPr="009C3ADE">
        <w:rPr>
          <w:rFonts w:ascii="Arial" w:eastAsia="Arial" w:hAnsi="Arial" w:cs="Arial"/>
          <w:i/>
          <w:sz w:val="14"/>
          <w:szCs w:val="14"/>
          <w:lang w:val="el-GR"/>
        </w:rPr>
        <w:t xml:space="preserve"> 5.</w:t>
      </w:r>
      <w:r w:rsidR="0011714A" w:rsidRPr="003549A4">
        <w:rPr>
          <w:rFonts w:ascii="Arial" w:eastAsia="Arial" w:hAnsi="Arial" w:cs="Arial"/>
          <w:i/>
          <w:sz w:val="14"/>
          <w:szCs w:val="14"/>
          <w:lang w:val="el-GR"/>
        </w:rPr>
        <w:t xml:space="preserve"> (4) </w:t>
      </w:r>
      <w:r w:rsidR="009C3ADE" w:rsidRPr="009C3ADE">
        <w:rPr>
          <w:rFonts w:ascii="Arial" w:eastAsia="Arial" w:hAnsi="Arial" w:cs="Arial"/>
          <w:i/>
          <w:sz w:val="14"/>
          <w:szCs w:val="14"/>
          <w:lang w:val="el-GR"/>
        </w:rPr>
        <w:t>Βλ</w:t>
      </w:r>
      <w:r w:rsidR="009C3ADE">
        <w:rPr>
          <w:rFonts w:ascii="Arial" w:eastAsia="Arial" w:hAnsi="Arial" w:cs="Arial"/>
          <w:i/>
          <w:sz w:val="14"/>
          <w:szCs w:val="14"/>
          <w:lang w:val="el-GR"/>
        </w:rPr>
        <w:t>έπε σελίδα 8.</w:t>
      </w:r>
      <w:r w:rsidR="0011714A" w:rsidRPr="003549A4">
        <w:rPr>
          <w:rFonts w:ascii="Arial" w:eastAsia="Arial" w:hAnsi="Arial" w:cs="Arial"/>
          <w:i/>
          <w:sz w:val="14"/>
          <w:szCs w:val="14"/>
          <w:lang w:val="el-GR"/>
        </w:rPr>
        <w:t xml:space="preserve"> (5) </w:t>
      </w:r>
      <w:r w:rsidR="009C3ADE">
        <w:rPr>
          <w:rFonts w:ascii="Arial" w:eastAsia="Arial" w:hAnsi="Arial" w:cs="Arial"/>
          <w:i/>
          <w:sz w:val="14"/>
          <w:szCs w:val="14"/>
          <w:lang w:val="el-GR"/>
        </w:rPr>
        <w:t>Τα κ</w:t>
      </w:r>
      <w:r w:rsidR="000B3D23">
        <w:rPr>
          <w:rFonts w:ascii="Arial" w:eastAsia="Arial" w:hAnsi="Arial" w:cs="Arial"/>
          <w:i/>
          <w:sz w:val="14"/>
          <w:szCs w:val="14"/>
          <w:lang w:val="el-GR"/>
        </w:rPr>
        <w:t xml:space="preserve">έρδη δραστηριοτήτων ανά μετοχή </w:t>
      </w:r>
      <w:r w:rsidR="009C3ADE">
        <w:rPr>
          <w:rFonts w:ascii="Arial" w:eastAsia="Arial" w:hAnsi="Arial" w:cs="Arial"/>
          <w:i/>
          <w:sz w:val="14"/>
          <w:szCs w:val="14"/>
          <w:lang w:val="el-GR"/>
        </w:rPr>
        <w:t xml:space="preserve"> για το 2016 ήταν €5,</w:t>
      </w:r>
      <w:r w:rsidR="0011714A" w:rsidRPr="003549A4">
        <w:rPr>
          <w:rFonts w:ascii="Arial" w:eastAsia="Arial" w:hAnsi="Arial" w:cs="Arial"/>
          <w:i/>
          <w:sz w:val="14"/>
          <w:szCs w:val="14"/>
          <w:lang w:val="el-GR"/>
        </w:rPr>
        <w:t>68.</w:t>
      </w:r>
    </w:p>
    <w:p w:rsidR="0078748C" w:rsidRDefault="0078748C" w:rsidP="009C3ADE">
      <w:pPr>
        <w:tabs>
          <w:tab w:val="left" w:pos="356"/>
        </w:tabs>
        <w:spacing w:before="52"/>
        <w:ind w:right="140"/>
        <w:jc w:val="both"/>
        <w:rPr>
          <w:rFonts w:ascii="Arial" w:eastAsia="Times New Roman" w:hAnsi="Arial" w:cs="Arial"/>
          <w:color w:val="222222"/>
          <w:sz w:val="19"/>
          <w:szCs w:val="19"/>
          <w:lang w:val="el-GR" w:eastAsia="el-GR"/>
        </w:rPr>
      </w:pPr>
    </w:p>
    <w:p w:rsidR="0078748C" w:rsidRDefault="0078748C" w:rsidP="009C3ADE">
      <w:pPr>
        <w:tabs>
          <w:tab w:val="left" w:pos="356"/>
        </w:tabs>
        <w:spacing w:before="52"/>
        <w:ind w:right="140"/>
        <w:jc w:val="both"/>
        <w:rPr>
          <w:rFonts w:ascii="Arial" w:eastAsia="Times New Roman" w:hAnsi="Arial" w:cs="Arial"/>
          <w:color w:val="222222"/>
          <w:sz w:val="19"/>
          <w:szCs w:val="19"/>
          <w:lang w:val="el-GR" w:eastAsia="el-GR"/>
        </w:rPr>
      </w:pPr>
    </w:p>
    <w:p w:rsidR="0078748C" w:rsidRDefault="0078748C" w:rsidP="009C3ADE">
      <w:pPr>
        <w:tabs>
          <w:tab w:val="left" w:pos="356"/>
        </w:tabs>
        <w:spacing w:before="52"/>
        <w:ind w:right="140"/>
        <w:jc w:val="both"/>
        <w:rPr>
          <w:rFonts w:ascii="Arial" w:eastAsia="Times New Roman" w:hAnsi="Arial" w:cs="Arial"/>
          <w:color w:val="222222"/>
          <w:sz w:val="19"/>
          <w:szCs w:val="19"/>
          <w:lang w:val="el-GR" w:eastAsia="el-GR"/>
        </w:rPr>
      </w:pPr>
    </w:p>
    <w:p w:rsidR="0078748C" w:rsidRDefault="0078748C" w:rsidP="009C3ADE">
      <w:pPr>
        <w:tabs>
          <w:tab w:val="left" w:pos="356"/>
        </w:tabs>
        <w:spacing w:before="52"/>
        <w:ind w:right="140"/>
        <w:jc w:val="both"/>
        <w:rPr>
          <w:rFonts w:ascii="Arial" w:eastAsia="Times New Roman" w:hAnsi="Arial" w:cs="Arial"/>
          <w:color w:val="222222"/>
          <w:sz w:val="19"/>
          <w:szCs w:val="19"/>
          <w:lang w:val="el-GR" w:eastAsia="el-GR"/>
        </w:rPr>
      </w:pPr>
    </w:p>
    <w:p w:rsidR="0078748C" w:rsidRDefault="0078748C" w:rsidP="009C3ADE">
      <w:pPr>
        <w:tabs>
          <w:tab w:val="left" w:pos="356"/>
        </w:tabs>
        <w:spacing w:before="52"/>
        <w:ind w:right="140"/>
        <w:jc w:val="both"/>
        <w:rPr>
          <w:rFonts w:ascii="Arial" w:eastAsia="Times New Roman" w:hAnsi="Arial" w:cs="Arial"/>
          <w:color w:val="222222"/>
          <w:sz w:val="19"/>
          <w:szCs w:val="19"/>
          <w:lang w:val="el-GR" w:eastAsia="el-GR"/>
        </w:rPr>
      </w:pPr>
    </w:p>
    <w:p w:rsidR="0078748C" w:rsidRPr="006B2B22" w:rsidRDefault="0078748C" w:rsidP="0078748C">
      <w:pPr>
        <w:spacing w:line="276" w:lineRule="auto"/>
        <w:jc w:val="right"/>
        <w:rPr>
          <w:rFonts w:ascii="Arial" w:eastAsia="Calibri" w:hAnsi="Arial" w:cs="Arial"/>
          <w:b/>
          <w:lang w:val="el-GR"/>
        </w:rPr>
      </w:pPr>
      <w:r w:rsidRPr="006B2B22">
        <w:rPr>
          <w:rFonts w:ascii="Arial" w:eastAsia="Calibri" w:hAnsi="Arial" w:cs="Arial"/>
          <w:b/>
          <w:lang w:val="el-GR"/>
        </w:rPr>
        <w:t xml:space="preserve">Τμήμα Επικοινωνίας </w:t>
      </w:r>
      <w:r w:rsidRPr="006B2B22">
        <w:rPr>
          <w:rFonts w:ascii="Arial" w:eastAsia="Calibri" w:hAnsi="Arial" w:cs="Arial"/>
          <w:b/>
        </w:rPr>
        <w:t>Sanofi</w:t>
      </w:r>
      <w:r w:rsidRPr="006B2B22">
        <w:rPr>
          <w:rFonts w:ascii="Arial" w:eastAsia="Calibri" w:hAnsi="Arial" w:cs="Arial"/>
          <w:b/>
          <w:lang w:val="el-GR"/>
        </w:rPr>
        <w:t xml:space="preserve"> Ελλάδας</w:t>
      </w:r>
    </w:p>
    <w:p w:rsidR="0078748C" w:rsidRPr="006B2B22" w:rsidRDefault="0078748C" w:rsidP="0078748C">
      <w:pPr>
        <w:spacing w:line="276" w:lineRule="auto"/>
        <w:jc w:val="right"/>
        <w:rPr>
          <w:rFonts w:ascii="Arial" w:eastAsia="Calibri" w:hAnsi="Arial" w:cs="Arial"/>
          <w:lang w:val="el-GR"/>
        </w:rPr>
      </w:pPr>
      <w:r w:rsidRPr="006B2B22">
        <w:rPr>
          <w:rFonts w:ascii="Arial" w:eastAsia="Calibri" w:hAnsi="Arial" w:cs="Arial"/>
          <w:b/>
          <w:lang w:val="el-GR"/>
        </w:rPr>
        <w:t xml:space="preserve"> </w:t>
      </w:r>
      <w:r w:rsidRPr="006B2B22">
        <w:rPr>
          <w:rFonts w:ascii="Arial" w:eastAsia="Calibri" w:hAnsi="Arial" w:cs="Arial"/>
          <w:lang w:val="el-GR"/>
        </w:rPr>
        <w:t xml:space="preserve">Χριστίνα </w:t>
      </w:r>
      <w:proofErr w:type="spellStart"/>
      <w:r w:rsidRPr="006B2B22">
        <w:rPr>
          <w:rFonts w:ascii="Arial" w:eastAsia="Calibri" w:hAnsi="Arial" w:cs="Arial"/>
          <w:lang w:val="el-GR"/>
        </w:rPr>
        <w:t>Βεϊοπούλου</w:t>
      </w:r>
      <w:proofErr w:type="spellEnd"/>
      <w:r w:rsidRPr="006B2B22">
        <w:rPr>
          <w:rFonts w:ascii="Arial" w:eastAsia="Calibri" w:hAnsi="Arial" w:cs="Arial"/>
          <w:lang w:val="el-GR"/>
        </w:rPr>
        <w:t xml:space="preserve"> </w:t>
      </w:r>
    </w:p>
    <w:p w:rsidR="0078748C" w:rsidRPr="006B2B22" w:rsidRDefault="0078748C" w:rsidP="0078748C">
      <w:pPr>
        <w:spacing w:line="276" w:lineRule="auto"/>
        <w:jc w:val="right"/>
        <w:rPr>
          <w:rFonts w:ascii="Arial" w:eastAsia="Calibri" w:hAnsi="Arial" w:cs="Arial"/>
          <w:lang w:val="el-GR"/>
        </w:rPr>
      </w:pPr>
      <w:proofErr w:type="spellStart"/>
      <w:r w:rsidRPr="006B2B22">
        <w:rPr>
          <w:rFonts w:ascii="Arial" w:eastAsia="Calibri" w:hAnsi="Arial" w:cs="Arial"/>
          <w:lang w:val="el-GR"/>
        </w:rPr>
        <w:t>Τηλ</w:t>
      </w:r>
      <w:proofErr w:type="spellEnd"/>
      <w:r w:rsidRPr="006B2B22">
        <w:rPr>
          <w:rFonts w:ascii="Arial" w:eastAsia="Calibri" w:hAnsi="Arial" w:cs="Arial"/>
          <w:lang w:val="el-GR"/>
        </w:rPr>
        <w:t>: 210 9001600</w:t>
      </w:r>
    </w:p>
    <w:p w:rsidR="0078748C" w:rsidRDefault="00C325CC" w:rsidP="0078748C">
      <w:pPr>
        <w:spacing w:line="276" w:lineRule="auto"/>
        <w:jc w:val="right"/>
        <w:rPr>
          <w:rFonts w:ascii="Arial" w:eastAsia="Arial" w:hAnsi="Arial" w:cs="Arial"/>
          <w:sz w:val="20"/>
          <w:szCs w:val="20"/>
          <w:lang w:val="el-GR"/>
        </w:rPr>
      </w:pPr>
      <w:hyperlink r:id="rId8" w:history="1">
        <w:r w:rsidR="0078748C" w:rsidRPr="006B2B22">
          <w:rPr>
            <w:rFonts w:ascii="Arial" w:eastAsia="Calibri" w:hAnsi="Arial" w:cs="Arial"/>
            <w:color w:val="0000FF"/>
            <w:u w:val="single"/>
          </w:rPr>
          <w:t>Info</w:t>
        </w:r>
        <w:r w:rsidR="0078748C" w:rsidRPr="006B2B22">
          <w:rPr>
            <w:rFonts w:ascii="Arial" w:eastAsia="Calibri" w:hAnsi="Arial" w:cs="Arial"/>
            <w:color w:val="0000FF"/>
            <w:u w:val="single"/>
            <w:lang w:val="el-GR"/>
          </w:rPr>
          <w:t>.</w:t>
        </w:r>
        <w:r w:rsidR="0078748C" w:rsidRPr="006B2B22">
          <w:rPr>
            <w:rFonts w:ascii="Arial" w:eastAsia="Calibri" w:hAnsi="Arial" w:cs="Arial"/>
            <w:color w:val="0000FF"/>
            <w:u w:val="single"/>
          </w:rPr>
          <w:t>greece</w:t>
        </w:r>
        <w:r w:rsidR="0078748C" w:rsidRPr="006B2B22">
          <w:rPr>
            <w:rFonts w:ascii="Arial" w:eastAsia="Calibri" w:hAnsi="Arial" w:cs="Arial"/>
            <w:color w:val="0000FF"/>
            <w:u w:val="single"/>
            <w:lang w:val="el-GR"/>
          </w:rPr>
          <w:t>@</w:t>
        </w:r>
        <w:r w:rsidR="0078748C" w:rsidRPr="006B2B22">
          <w:rPr>
            <w:rFonts w:ascii="Arial" w:eastAsia="Calibri" w:hAnsi="Arial" w:cs="Arial"/>
            <w:color w:val="0000FF"/>
            <w:u w:val="single"/>
          </w:rPr>
          <w:t>sanofi</w:t>
        </w:r>
        <w:r w:rsidR="0078748C" w:rsidRPr="006B2B22">
          <w:rPr>
            <w:rFonts w:ascii="Arial" w:eastAsia="Calibri" w:hAnsi="Arial" w:cs="Arial"/>
            <w:color w:val="0000FF"/>
            <w:u w:val="single"/>
            <w:lang w:val="el-GR"/>
          </w:rPr>
          <w:t>.</w:t>
        </w:r>
        <w:r w:rsidR="0078748C" w:rsidRPr="006B2B22">
          <w:rPr>
            <w:rFonts w:ascii="Arial" w:eastAsia="Calibri" w:hAnsi="Arial" w:cs="Arial"/>
            <w:color w:val="0000FF"/>
            <w:u w:val="single"/>
          </w:rPr>
          <w:t>com</w:t>
        </w:r>
      </w:hyperlink>
    </w:p>
    <w:p w:rsidR="0078748C" w:rsidRPr="0078748C" w:rsidRDefault="0078748C" w:rsidP="0078748C">
      <w:pPr>
        <w:rPr>
          <w:rFonts w:ascii="Arial" w:eastAsia="Arial" w:hAnsi="Arial" w:cs="Arial"/>
          <w:sz w:val="20"/>
          <w:szCs w:val="20"/>
          <w:lang w:val="el-GR"/>
        </w:rPr>
      </w:pPr>
    </w:p>
    <w:p w:rsidR="0078748C" w:rsidRPr="0078748C" w:rsidRDefault="0078748C" w:rsidP="0078748C">
      <w:pPr>
        <w:rPr>
          <w:rFonts w:ascii="Arial" w:eastAsia="Arial" w:hAnsi="Arial" w:cs="Arial"/>
          <w:sz w:val="20"/>
          <w:szCs w:val="20"/>
          <w:lang w:val="el-GR"/>
        </w:rPr>
      </w:pPr>
    </w:p>
    <w:p w:rsidR="0078748C" w:rsidRPr="0078748C" w:rsidRDefault="0078748C" w:rsidP="0078748C">
      <w:pPr>
        <w:rPr>
          <w:rFonts w:ascii="Arial" w:eastAsia="Arial" w:hAnsi="Arial" w:cs="Arial"/>
          <w:sz w:val="20"/>
          <w:szCs w:val="20"/>
          <w:lang w:val="el-GR"/>
        </w:rPr>
      </w:pPr>
    </w:p>
    <w:p w:rsidR="0078748C" w:rsidRPr="0078748C" w:rsidRDefault="0078748C" w:rsidP="0078748C">
      <w:pPr>
        <w:rPr>
          <w:rFonts w:ascii="Arial" w:eastAsia="Arial" w:hAnsi="Arial" w:cs="Arial"/>
          <w:sz w:val="20"/>
          <w:szCs w:val="20"/>
          <w:lang w:val="el-GR"/>
        </w:rPr>
      </w:pPr>
    </w:p>
    <w:p w:rsidR="0078748C" w:rsidRPr="0078748C" w:rsidRDefault="0078748C" w:rsidP="0078748C">
      <w:pPr>
        <w:rPr>
          <w:rFonts w:ascii="Arial" w:eastAsia="Arial" w:hAnsi="Arial" w:cs="Arial"/>
          <w:sz w:val="20"/>
          <w:szCs w:val="20"/>
          <w:lang w:val="el-GR"/>
        </w:rPr>
      </w:pPr>
    </w:p>
    <w:p w:rsidR="0078748C" w:rsidRPr="0078748C" w:rsidRDefault="0078748C" w:rsidP="0078748C">
      <w:pPr>
        <w:rPr>
          <w:rFonts w:ascii="Arial" w:eastAsia="Arial" w:hAnsi="Arial" w:cs="Arial"/>
          <w:sz w:val="20"/>
          <w:szCs w:val="20"/>
          <w:lang w:val="el-GR"/>
        </w:rPr>
      </w:pPr>
    </w:p>
    <w:p w:rsidR="0078748C" w:rsidRPr="0078748C" w:rsidRDefault="0078748C" w:rsidP="0078748C">
      <w:pPr>
        <w:rPr>
          <w:rFonts w:ascii="Arial" w:eastAsia="Arial" w:hAnsi="Arial" w:cs="Arial"/>
          <w:sz w:val="20"/>
          <w:szCs w:val="20"/>
          <w:lang w:val="el-GR"/>
        </w:rPr>
      </w:pPr>
    </w:p>
    <w:p w:rsidR="0078748C" w:rsidRPr="0078748C" w:rsidRDefault="0078748C" w:rsidP="0078748C">
      <w:pPr>
        <w:rPr>
          <w:rFonts w:ascii="Arial" w:eastAsia="Arial" w:hAnsi="Arial" w:cs="Arial"/>
          <w:sz w:val="20"/>
          <w:szCs w:val="20"/>
          <w:lang w:val="el-GR"/>
        </w:rPr>
      </w:pPr>
    </w:p>
    <w:p w:rsidR="0078748C" w:rsidRPr="0078748C" w:rsidRDefault="0078748C" w:rsidP="0078748C">
      <w:pPr>
        <w:rPr>
          <w:rFonts w:ascii="Arial" w:eastAsia="Arial" w:hAnsi="Arial" w:cs="Arial"/>
          <w:sz w:val="20"/>
          <w:szCs w:val="20"/>
          <w:lang w:val="el-GR"/>
        </w:rPr>
      </w:pPr>
    </w:p>
    <w:p w:rsidR="0078748C" w:rsidRPr="0078748C" w:rsidRDefault="0078748C" w:rsidP="0078748C">
      <w:pPr>
        <w:rPr>
          <w:rFonts w:ascii="Arial" w:eastAsia="Arial" w:hAnsi="Arial" w:cs="Arial"/>
          <w:sz w:val="20"/>
          <w:szCs w:val="20"/>
          <w:lang w:val="el-GR"/>
        </w:rPr>
      </w:pPr>
    </w:p>
    <w:p w:rsidR="0078748C" w:rsidRPr="0078748C" w:rsidRDefault="0078748C" w:rsidP="0078748C">
      <w:pPr>
        <w:rPr>
          <w:rFonts w:ascii="Arial" w:eastAsia="Arial" w:hAnsi="Arial" w:cs="Arial"/>
          <w:sz w:val="20"/>
          <w:szCs w:val="20"/>
          <w:lang w:val="el-GR"/>
        </w:rPr>
      </w:pPr>
    </w:p>
    <w:p w:rsidR="0078748C" w:rsidRPr="0078748C" w:rsidRDefault="0078748C" w:rsidP="0078748C">
      <w:pPr>
        <w:rPr>
          <w:rFonts w:ascii="Arial" w:eastAsia="Arial" w:hAnsi="Arial" w:cs="Arial"/>
          <w:sz w:val="20"/>
          <w:szCs w:val="20"/>
          <w:lang w:val="el-GR"/>
        </w:rPr>
      </w:pPr>
    </w:p>
    <w:p w:rsidR="0078748C" w:rsidRPr="0078748C" w:rsidRDefault="0078748C" w:rsidP="0078748C">
      <w:pPr>
        <w:rPr>
          <w:rFonts w:ascii="Arial" w:eastAsia="Arial" w:hAnsi="Arial" w:cs="Arial"/>
          <w:sz w:val="20"/>
          <w:szCs w:val="20"/>
          <w:lang w:val="el-GR"/>
        </w:rPr>
      </w:pPr>
    </w:p>
    <w:p w:rsidR="0078748C" w:rsidRPr="0078748C" w:rsidRDefault="0078748C" w:rsidP="0078748C">
      <w:pPr>
        <w:rPr>
          <w:rFonts w:ascii="Arial" w:eastAsia="Arial" w:hAnsi="Arial" w:cs="Arial"/>
          <w:sz w:val="20"/>
          <w:szCs w:val="20"/>
          <w:lang w:val="el-GR"/>
        </w:rPr>
      </w:pPr>
    </w:p>
    <w:p w:rsidR="0078748C" w:rsidRPr="0078748C" w:rsidRDefault="0078748C" w:rsidP="0078748C">
      <w:pPr>
        <w:rPr>
          <w:rFonts w:ascii="Arial" w:eastAsia="Arial" w:hAnsi="Arial" w:cs="Arial"/>
          <w:sz w:val="20"/>
          <w:szCs w:val="20"/>
          <w:lang w:val="el-GR"/>
        </w:rPr>
      </w:pPr>
    </w:p>
    <w:p w:rsidR="0078748C" w:rsidRPr="0078748C" w:rsidRDefault="0078748C" w:rsidP="0078748C">
      <w:pPr>
        <w:rPr>
          <w:rFonts w:ascii="Arial" w:eastAsia="Arial" w:hAnsi="Arial" w:cs="Arial"/>
          <w:sz w:val="20"/>
          <w:szCs w:val="20"/>
          <w:lang w:val="el-GR"/>
        </w:rPr>
      </w:pPr>
    </w:p>
    <w:p w:rsidR="0078748C" w:rsidRPr="0078748C" w:rsidRDefault="0078748C" w:rsidP="0078748C">
      <w:pPr>
        <w:rPr>
          <w:rFonts w:ascii="Arial" w:eastAsia="Arial" w:hAnsi="Arial" w:cs="Arial"/>
          <w:sz w:val="20"/>
          <w:szCs w:val="20"/>
          <w:lang w:val="el-GR"/>
        </w:rPr>
      </w:pPr>
    </w:p>
    <w:p w:rsidR="0078748C" w:rsidRPr="0078748C" w:rsidRDefault="0078748C" w:rsidP="0078748C">
      <w:pPr>
        <w:rPr>
          <w:rFonts w:ascii="Arial" w:eastAsia="Arial" w:hAnsi="Arial" w:cs="Arial"/>
          <w:sz w:val="20"/>
          <w:szCs w:val="20"/>
          <w:lang w:val="el-GR"/>
        </w:rPr>
      </w:pPr>
    </w:p>
    <w:p w:rsidR="0078748C" w:rsidRPr="0078748C" w:rsidRDefault="0078748C" w:rsidP="0078748C">
      <w:pPr>
        <w:rPr>
          <w:rFonts w:ascii="Arial" w:eastAsia="Arial" w:hAnsi="Arial" w:cs="Arial"/>
          <w:sz w:val="20"/>
          <w:szCs w:val="20"/>
          <w:lang w:val="el-GR"/>
        </w:rPr>
      </w:pPr>
    </w:p>
    <w:p w:rsidR="0078748C" w:rsidRPr="0078748C" w:rsidRDefault="0078748C" w:rsidP="0078748C">
      <w:pPr>
        <w:rPr>
          <w:rFonts w:ascii="Arial" w:eastAsia="Arial" w:hAnsi="Arial" w:cs="Arial"/>
          <w:sz w:val="20"/>
          <w:szCs w:val="20"/>
          <w:lang w:val="el-GR"/>
        </w:rPr>
      </w:pPr>
    </w:p>
    <w:p w:rsidR="0078748C" w:rsidRPr="0078748C" w:rsidRDefault="0078748C" w:rsidP="0078748C">
      <w:pPr>
        <w:rPr>
          <w:rFonts w:ascii="Arial" w:eastAsia="Arial" w:hAnsi="Arial" w:cs="Arial"/>
          <w:sz w:val="20"/>
          <w:szCs w:val="20"/>
          <w:lang w:val="el-GR"/>
        </w:rPr>
      </w:pPr>
    </w:p>
    <w:p w:rsidR="0078748C" w:rsidRPr="0078748C" w:rsidRDefault="0078748C" w:rsidP="0078748C">
      <w:pPr>
        <w:rPr>
          <w:rFonts w:ascii="Arial" w:eastAsia="Arial" w:hAnsi="Arial" w:cs="Arial"/>
          <w:sz w:val="20"/>
          <w:szCs w:val="20"/>
          <w:lang w:val="el-GR"/>
        </w:rPr>
      </w:pPr>
    </w:p>
    <w:p w:rsidR="0078748C" w:rsidRPr="0078748C" w:rsidRDefault="0078748C" w:rsidP="0078748C">
      <w:pPr>
        <w:rPr>
          <w:rFonts w:ascii="Arial" w:eastAsia="Arial" w:hAnsi="Arial" w:cs="Arial"/>
          <w:sz w:val="20"/>
          <w:szCs w:val="20"/>
          <w:lang w:val="el-GR"/>
        </w:rPr>
      </w:pPr>
    </w:p>
    <w:p w:rsidR="0078748C" w:rsidRPr="0078748C" w:rsidRDefault="0078748C" w:rsidP="0078748C">
      <w:pPr>
        <w:rPr>
          <w:rFonts w:ascii="Arial" w:eastAsia="Arial" w:hAnsi="Arial" w:cs="Arial"/>
          <w:sz w:val="20"/>
          <w:szCs w:val="20"/>
          <w:lang w:val="el-GR"/>
        </w:rPr>
      </w:pPr>
    </w:p>
    <w:p w:rsidR="0078748C" w:rsidRPr="0078748C" w:rsidRDefault="0078748C" w:rsidP="0078748C">
      <w:pPr>
        <w:rPr>
          <w:rFonts w:ascii="Arial" w:eastAsia="Arial" w:hAnsi="Arial" w:cs="Arial"/>
          <w:sz w:val="20"/>
          <w:szCs w:val="20"/>
          <w:lang w:val="el-GR"/>
        </w:rPr>
      </w:pPr>
    </w:p>
    <w:p w:rsidR="0078748C" w:rsidRDefault="0078748C" w:rsidP="0078748C">
      <w:pPr>
        <w:rPr>
          <w:rFonts w:ascii="Arial" w:eastAsia="Arial" w:hAnsi="Arial" w:cs="Arial"/>
          <w:sz w:val="20"/>
          <w:szCs w:val="20"/>
          <w:lang w:val="el-GR"/>
        </w:rPr>
      </w:pPr>
    </w:p>
    <w:p w:rsidR="0078748C" w:rsidRDefault="0078748C" w:rsidP="0078748C">
      <w:pPr>
        <w:rPr>
          <w:rFonts w:ascii="Arial" w:eastAsia="Arial" w:hAnsi="Arial" w:cs="Arial"/>
          <w:sz w:val="20"/>
          <w:szCs w:val="20"/>
          <w:lang w:val="el-GR"/>
        </w:rPr>
      </w:pPr>
    </w:p>
    <w:p w:rsidR="0078748C" w:rsidRPr="0078748C" w:rsidRDefault="0078748C" w:rsidP="0078748C">
      <w:pPr>
        <w:tabs>
          <w:tab w:val="left" w:pos="2094"/>
        </w:tabs>
        <w:rPr>
          <w:rFonts w:ascii="Arial" w:eastAsia="Arial" w:hAnsi="Arial" w:cs="Arial"/>
          <w:sz w:val="20"/>
          <w:szCs w:val="20"/>
          <w:lang w:val="el-GR"/>
        </w:rPr>
      </w:pPr>
      <w:r>
        <w:rPr>
          <w:rFonts w:ascii="Arial" w:eastAsia="Arial" w:hAnsi="Arial" w:cs="Arial"/>
          <w:sz w:val="20"/>
          <w:szCs w:val="20"/>
          <w:lang w:val="el-GR"/>
        </w:rPr>
        <w:tab/>
      </w:r>
    </w:p>
    <w:sectPr w:rsidR="0078748C" w:rsidRPr="0078748C" w:rsidSect="00C10942">
      <w:footerReference w:type="default" r:id="rId9"/>
      <w:pgSz w:w="11910" w:h="16840"/>
      <w:pgMar w:top="900" w:right="360" w:bottom="700" w:left="380" w:header="0" w:footer="517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77A" w:rsidRDefault="00A5477A">
      <w:r>
        <w:separator/>
      </w:r>
    </w:p>
  </w:endnote>
  <w:endnote w:type="continuationSeparator" w:id="0">
    <w:p w:rsidR="00A5477A" w:rsidRDefault="00A54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48C" w:rsidRPr="0078748C" w:rsidRDefault="0078748C" w:rsidP="0078748C">
    <w:pPr>
      <w:pStyle w:val="Heading2"/>
      <w:shd w:val="clear" w:color="auto" w:fill="FFFFFF"/>
      <w:spacing w:before="75" w:after="75"/>
      <w:rPr>
        <w:rFonts w:ascii="Verdana" w:hAnsi="Verdana"/>
        <w:b w:val="0"/>
        <w:i/>
        <w:sz w:val="16"/>
        <w:szCs w:val="20"/>
      </w:rPr>
    </w:pPr>
    <w:r w:rsidRPr="0078748C">
      <w:rPr>
        <w:rFonts w:ascii="Verdana" w:hAnsi="Verdana"/>
        <w:b w:val="0"/>
        <w:i/>
        <w:sz w:val="16"/>
        <w:szCs w:val="20"/>
      </w:rPr>
      <w:t>SAGR.SA.17.02.0082</w:t>
    </w:r>
  </w:p>
  <w:p w:rsidR="00E13CEA" w:rsidRDefault="00C325C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55pt;margin-top:805.1pt;width:16.25pt;height:13.05pt;z-index:-251658752;mso-position-horizontal-relative:page;mso-position-vertical-relative:page" filled="f" stroked="f">
          <v:textbox inset="0,0,0,0">
            <w:txbxContent>
              <w:p w:rsidR="00E13CEA" w:rsidRDefault="00E13CEA">
                <w:pPr>
                  <w:spacing w:line="246" w:lineRule="exact"/>
                  <w:ind w:left="40"/>
                  <w:rPr>
                    <w:rFonts w:ascii="Arial" w:eastAsia="Arial" w:hAnsi="Arial" w:cs="Arial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77A" w:rsidRDefault="00A5477A">
      <w:r>
        <w:separator/>
      </w:r>
    </w:p>
  </w:footnote>
  <w:footnote w:type="continuationSeparator" w:id="0">
    <w:p w:rsidR="00A5477A" w:rsidRDefault="00A54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D28B8"/>
    <w:multiLevelType w:val="hybridMultilevel"/>
    <w:tmpl w:val="CD82AB5E"/>
    <w:lvl w:ilvl="0" w:tplc="D89A0FC8">
      <w:start w:val="1"/>
      <w:numFmt w:val="decimal"/>
      <w:lvlText w:val="(%1)"/>
      <w:lvlJc w:val="left"/>
      <w:pPr>
        <w:ind w:left="144" w:hanging="212"/>
      </w:pPr>
      <w:rPr>
        <w:rFonts w:ascii="Arial" w:eastAsia="Arial" w:hAnsi="Arial" w:hint="default"/>
        <w:i/>
        <w:spacing w:val="-1"/>
        <w:w w:val="99"/>
        <w:sz w:val="14"/>
        <w:szCs w:val="14"/>
      </w:rPr>
    </w:lvl>
    <w:lvl w:ilvl="1" w:tplc="BD32BAA4">
      <w:start w:val="7"/>
      <w:numFmt w:val="decimal"/>
      <w:lvlText w:val="(%2)"/>
      <w:lvlJc w:val="left"/>
      <w:pPr>
        <w:ind w:left="433" w:hanging="209"/>
      </w:pPr>
      <w:rPr>
        <w:rFonts w:ascii="Arial" w:eastAsia="Arial" w:hAnsi="Arial" w:hint="default"/>
        <w:i/>
        <w:spacing w:val="-1"/>
        <w:w w:val="99"/>
        <w:sz w:val="14"/>
        <w:szCs w:val="14"/>
      </w:rPr>
    </w:lvl>
    <w:lvl w:ilvl="2" w:tplc="9A564386">
      <w:start w:val="1"/>
      <w:numFmt w:val="lowerLetter"/>
      <w:lvlText w:val="(%3)"/>
      <w:lvlJc w:val="left"/>
      <w:pPr>
        <w:ind w:left="452" w:hanging="228"/>
      </w:pPr>
      <w:rPr>
        <w:rFonts w:ascii="Arial" w:eastAsia="Arial" w:hAnsi="Arial" w:hint="default"/>
        <w:i/>
        <w:spacing w:val="-1"/>
        <w:w w:val="99"/>
        <w:sz w:val="14"/>
        <w:szCs w:val="14"/>
      </w:rPr>
    </w:lvl>
    <w:lvl w:ilvl="3" w:tplc="D1148572">
      <w:start w:val="1"/>
      <w:numFmt w:val="bullet"/>
      <w:lvlText w:val="•"/>
      <w:lvlJc w:val="left"/>
      <w:pPr>
        <w:ind w:left="1769" w:hanging="228"/>
      </w:pPr>
      <w:rPr>
        <w:rFonts w:hint="default"/>
      </w:rPr>
    </w:lvl>
    <w:lvl w:ilvl="4" w:tplc="D2DA99FC">
      <w:start w:val="1"/>
      <w:numFmt w:val="bullet"/>
      <w:lvlText w:val="•"/>
      <w:lvlJc w:val="left"/>
      <w:pPr>
        <w:ind w:left="3086" w:hanging="228"/>
      </w:pPr>
      <w:rPr>
        <w:rFonts w:hint="default"/>
      </w:rPr>
    </w:lvl>
    <w:lvl w:ilvl="5" w:tplc="E124DCEC">
      <w:start w:val="1"/>
      <w:numFmt w:val="bullet"/>
      <w:lvlText w:val="•"/>
      <w:lvlJc w:val="left"/>
      <w:pPr>
        <w:ind w:left="4402" w:hanging="228"/>
      </w:pPr>
      <w:rPr>
        <w:rFonts w:hint="default"/>
      </w:rPr>
    </w:lvl>
    <w:lvl w:ilvl="6" w:tplc="0D282142">
      <w:start w:val="1"/>
      <w:numFmt w:val="bullet"/>
      <w:lvlText w:val="•"/>
      <w:lvlJc w:val="left"/>
      <w:pPr>
        <w:ind w:left="5719" w:hanging="228"/>
      </w:pPr>
      <w:rPr>
        <w:rFonts w:hint="default"/>
      </w:rPr>
    </w:lvl>
    <w:lvl w:ilvl="7" w:tplc="377E39BC">
      <w:start w:val="1"/>
      <w:numFmt w:val="bullet"/>
      <w:lvlText w:val="•"/>
      <w:lvlJc w:val="left"/>
      <w:pPr>
        <w:ind w:left="7036" w:hanging="228"/>
      </w:pPr>
      <w:rPr>
        <w:rFonts w:hint="default"/>
      </w:rPr>
    </w:lvl>
    <w:lvl w:ilvl="8" w:tplc="74266618">
      <w:start w:val="1"/>
      <w:numFmt w:val="bullet"/>
      <w:lvlText w:val="•"/>
      <w:lvlJc w:val="left"/>
      <w:pPr>
        <w:ind w:left="8353" w:hanging="228"/>
      </w:pPr>
      <w:rPr>
        <w:rFonts w:hint="default"/>
      </w:rPr>
    </w:lvl>
  </w:abstractNum>
  <w:abstractNum w:abstractNumId="1" w15:restartNumberingAfterBreak="0">
    <w:nsid w:val="0F6E1D13"/>
    <w:multiLevelType w:val="hybridMultilevel"/>
    <w:tmpl w:val="1CFA1980"/>
    <w:lvl w:ilvl="0" w:tplc="866C563E">
      <w:start w:val="1"/>
      <w:numFmt w:val="lowerLetter"/>
      <w:lvlText w:val="(%1)"/>
      <w:lvlJc w:val="left"/>
      <w:pPr>
        <w:ind w:left="584" w:hanging="360"/>
      </w:pPr>
      <w:rPr>
        <w:rFonts w:ascii="Arial" w:eastAsia="Arial" w:hAnsi="Arial" w:hint="default"/>
        <w:i/>
        <w:spacing w:val="-1"/>
        <w:w w:val="99"/>
        <w:sz w:val="14"/>
        <w:szCs w:val="14"/>
      </w:rPr>
    </w:lvl>
    <w:lvl w:ilvl="1" w:tplc="E4EE3726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2" w:tplc="127C8780">
      <w:start w:val="1"/>
      <w:numFmt w:val="bullet"/>
      <w:lvlText w:val="•"/>
      <w:lvlJc w:val="left"/>
      <w:pPr>
        <w:ind w:left="2697" w:hanging="360"/>
      </w:pPr>
      <w:rPr>
        <w:rFonts w:hint="default"/>
      </w:rPr>
    </w:lvl>
    <w:lvl w:ilvl="3" w:tplc="C9402CFA">
      <w:start w:val="1"/>
      <w:numFmt w:val="bullet"/>
      <w:lvlText w:val="•"/>
      <w:lvlJc w:val="left"/>
      <w:pPr>
        <w:ind w:left="3753" w:hanging="360"/>
      </w:pPr>
      <w:rPr>
        <w:rFonts w:hint="default"/>
      </w:rPr>
    </w:lvl>
    <w:lvl w:ilvl="4" w:tplc="D16A7B14">
      <w:start w:val="1"/>
      <w:numFmt w:val="bullet"/>
      <w:lvlText w:val="•"/>
      <w:lvlJc w:val="left"/>
      <w:pPr>
        <w:ind w:left="4809" w:hanging="360"/>
      </w:pPr>
      <w:rPr>
        <w:rFonts w:hint="default"/>
      </w:rPr>
    </w:lvl>
    <w:lvl w:ilvl="5" w:tplc="1534CDFE">
      <w:start w:val="1"/>
      <w:numFmt w:val="bullet"/>
      <w:lvlText w:val="•"/>
      <w:lvlJc w:val="left"/>
      <w:pPr>
        <w:ind w:left="5865" w:hanging="360"/>
      </w:pPr>
      <w:rPr>
        <w:rFonts w:hint="default"/>
      </w:rPr>
    </w:lvl>
    <w:lvl w:ilvl="6" w:tplc="3FF87FC0">
      <w:start w:val="1"/>
      <w:numFmt w:val="bullet"/>
      <w:lvlText w:val="•"/>
      <w:lvlJc w:val="left"/>
      <w:pPr>
        <w:ind w:left="6921" w:hanging="360"/>
      </w:pPr>
      <w:rPr>
        <w:rFonts w:hint="default"/>
      </w:rPr>
    </w:lvl>
    <w:lvl w:ilvl="7" w:tplc="87C621CC">
      <w:start w:val="1"/>
      <w:numFmt w:val="bullet"/>
      <w:lvlText w:val="•"/>
      <w:lvlJc w:val="left"/>
      <w:pPr>
        <w:ind w:left="7977" w:hanging="360"/>
      </w:pPr>
      <w:rPr>
        <w:rFonts w:hint="default"/>
      </w:rPr>
    </w:lvl>
    <w:lvl w:ilvl="8" w:tplc="166EEC8A">
      <w:start w:val="1"/>
      <w:numFmt w:val="bullet"/>
      <w:lvlText w:val="•"/>
      <w:lvlJc w:val="left"/>
      <w:pPr>
        <w:ind w:left="9034" w:hanging="360"/>
      </w:pPr>
      <w:rPr>
        <w:rFonts w:hint="default"/>
      </w:rPr>
    </w:lvl>
  </w:abstractNum>
  <w:abstractNum w:abstractNumId="2" w15:restartNumberingAfterBreak="0">
    <w:nsid w:val="0FE90E76"/>
    <w:multiLevelType w:val="hybridMultilevel"/>
    <w:tmpl w:val="CEBA4E04"/>
    <w:lvl w:ilvl="0" w:tplc="4E1867B4">
      <w:start w:val="1"/>
      <w:numFmt w:val="decimal"/>
      <w:lvlText w:val="(%1)"/>
      <w:lvlJc w:val="left"/>
      <w:pPr>
        <w:ind w:left="620" w:hanging="284"/>
      </w:pPr>
      <w:rPr>
        <w:rFonts w:ascii="Arial" w:eastAsia="Arial" w:hAnsi="Arial" w:hint="default"/>
        <w:spacing w:val="-1"/>
        <w:sz w:val="16"/>
        <w:szCs w:val="16"/>
      </w:rPr>
    </w:lvl>
    <w:lvl w:ilvl="1" w:tplc="C430F5FA">
      <w:start w:val="1"/>
      <w:numFmt w:val="bullet"/>
      <w:lvlText w:val="•"/>
      <w:lvlJc w:val="left"/>
      <w:pPr>
        <w:ind w:left="1670" w:hanging="284"/>
      </w:pPr>
      <w:rPr>
        <w:rFonts w:hint="default"/>
      </w:rPr>
    </w:lvl>
    <w:lvl w:ilvl="2" w:tplc="12E8BB90">
      <w:start w:val="1"/>
      <w:numFmt w:val="bullet"/>
      <w:lvlText w:val="•"/>
      <w:lvlJc w:val="left"/>
      <w:pPr>
        <w:ind w:left="2721" w:hanging="284"/>
      </w:pPr>
      <w:rPr>
        <w:rFonts w:hint="default"/>
      </w:rPr>
    </w:lvl>
    <w:lvl w:ilvl="3" w:tplc="1BBC66CC">
      <w:start w:val="1"/>
      <w:numFmt w:val="bullet"/>
      <w:lvlText w:val="•"/>
      <w:lvlJc w:val="left"/>
      <w:pPr>
        <w:ind w:left="3771" w:hanging="284"/>
      </w:pPr>
      <w:rPr>
        <w:rFonts w:hint="default"/>
      </w:rPr>
    </w:lvl>
    <w:lvl w:ilvl="4" w:tplc="4080E17E">
      <w:start w:val="1"/>
      <w:numFmt w:val="bullet"/>
      <w:lvlText w:val="•"/>
      <w:lvlJc w:val="left"/>
      <w:pPr>
        <w:ind w:left="4822" w:hanging="284"/>
      </w:pPr>
      <w:rPr>
        <w:rFonts w:hint="default"/>
      </w:rPr>
    </w:lvl>
    <w:lvl w:ilvl="5" w:tplc="443E90B0">
      <w:start w:val="1"/>
      <w:numFmt w:val="bullet"/>
      <w:lvlText w:val="•"/>
      <w:lvlJc w:val="left"/>
      <w:pPr>
        <w:ind w:left="5873" w:hanging="284"/>
      </w:pPr>
      <w:rPr>
        <w:rFonts w:hint="default"/>
      </w:rPr>
    </w:lvl>
    <w:lvl w:ilvl="6" w:tplc="14649848">
      <w:start w:val="1"/>
      <w:numFmt w:val="bullet"/>
      <w:lvlText w:val="•"/>
      <w:lvlJc w:val="left"/>
      <w:pPr>
        <w:ind w:left="6923" w:hanging="284"/>
      </w:pPr>
      <w:rPr>
        <w:rFonts w:hint="default"/>
      </w:rPr>
    </w:lvl>
    <w:lvl w:ilvl="7" w:tplc="902E9C76">
      <w:start w:val="1"/>
      <w:numFmt w:val="bullet"/>
      <w:lvlText w:val="•"/>
      <w:lvlJc w:val="left"/>
      <w:pPr>
        <w:ind w:left="7974" w:hanging="284"/>
      </w:pPr>
      <w:rPr>
        <w:rFonts w:hint="default"/>
      </w:rPr>
    </w:lvl>
    <w:lvl w:ilvl="8" w:tplc="058C3E92">
      <w:start w:val="1"/>
      <w:numFmt w:val="bullet"/>
      <w:lvlText w:val="•"/>
      <w:lvlJc w:val="left"/>
      <w:pPr>
        <w:ind w:left="9025" w:hanging="284"/>
      </w:pPr>
      <w:rPr>
        <w:rFonts w:hint="default"/>
      </w:rPr>
    </w:lvl>
  </w:abstractNum>
  <w:abstractNum w:abstractNumId="3" w15:restartNumberingAfterBreak="0">
    <w:nsid w:val="10541AA5"/>
    <w:multiLevelType w:val="multilevel"/>
    <w:tmpl w:val="C9B2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917697"/>
    <w:multiLevelType w:val="hybridMultilevel"/>
    <w:tmpl w:val="C54C9178"/>
    <w:lvl w:ilvl="0" w:tplc="13BEB50C">
      <w:start w:val="1"/>
      <w:numFmt w:val="bullet"/>
      <w:lvlText w:val=""/>
      <w:lvlJc w:val="left"/>
      <w:pPr>
        <w:ind w:left="431" w:hanging="267"/>
      </w:pPr>
      <w:rPr>
        <w:rFonts w:ascii="Symbol" w:eastAsia="Symbol" w:hAnsi="Symbol" w:hint="default"/>
        <w:w w:val="99"/>
        <w:sz w:val="20"/>
        <w:szCs w:val="20"/>
      </w:rPr>
    </w:lvl>
    <w:lvl w:ilvl="1" w:tplc="12CA0C4E">
      <w:start w:val="1"/>
      <w:numFmt w:val="bullet"/>
      <w:lvlText w:val="•"/>
      <w:lvlJc w:val="left"/>
      <w:pPr>
        <w:ind w:left="1459" w:hanging="267"/>
      </w:pPr>
      <w:rPr>
        <w:rFonts w:hint="default"/>
      </w:rPr>
    </w:lvl>
    <w:lvl w:ilvl="2" w:tplc="486A9B78">
      <w:start w:val="1"/>
      <w:numFmt w:val="bullet"/>
      <w:lvlText w:val="•"/>
      <w:lvlJc w:val="left"/>
      <w:pPr>
        <w:ind w:left="2487" w:hanging="267"/>
      </w:pPr>
      <w:rPr>
        <w:rFonts w:hint="default"/>
      </w:rPr>
    </w:lvl>
    <w:lvl w:ilvl="3" w:tplc="E4FE7CA6">
      <w:start w:val="1"/>
      <w:numFmt w:val="bullet"/>
      <w:lvlText w:val="•"/>
      <w:lvlJc w:val="left"/>
      <w:pPr>
        <w:ind w:left="3515" w:hanging="267"/>
      </w:pPr>
      <w:rPr>
        <w:rFonts w:hint="default"/>
      </w:rPr>
    </w:lvl>
    <w:lvl w:ilvl="4" w:tplc="6B3AFA52">
      <w:start w:val="1"/>
      <w:numFmt w:val="bullet"/>
      <w:lvlText w:val="•"/>
      <w:lvlJc w:val="left"/>
      <w:pPr>
        <w:ind w:left="4544" w:hanging="267"/>
      </w:pPr>
      <w:rPr>
        <w:rFonts w:hint="default"/>
      </w:rPr>
    </w:lvl>
    <w:lvl w:ilvl="5" w:tplc="E682A8E0">
      <w:start w:val="1"/>
      <w:numFmt w:val="bullet"/>
      <w:lvlText w:val="•"/>
      <w:lvlJc w:val="left"/>
      <w:pPr>
        <w:ind w:left="5572" w:hanging="267"/>
      </w:pPr>
      <w:rPr>
        <w:rFonts w:hint="default"/>
      </w:rPr>
    </w:lvl>
    <w:lvl w:ilvl="6" w:tplc="12FA68A0">
      <w:start w:val="1"/>
      <w:numFmt w:val="bullet"/>
      <w:lvlText w:val="•"/>
      <w:lvlJc w:val="left"/>
      <w:pPr>
        <w:ind w:left="6600" w:hanging="267"/>
      </w:pPr>
      <w:rPr>
        <w:rFonts w:hint="default"/>
      </w:rPr>
    </w:lvl>
    <w:lvl w:ilvl="7" w:tplc="50147D52">
      <w:start w:val="1"/>
      <w:numFmt w:val="bullet"/>
      <w:lvlText w:val="•"/>
      <w:lvlJc w:val="left"/>
      <w:pPr>
        <w:ind w:left="7629" w:hanging="267"/>
      </w:pPr>
      <w:rPr>
        <w:rFonts w:hint="default"/>
      </w:rPr>
    </w:lvl>
    <w:lvl w:ilvl="8" w:tplc="1212AADE">
      <w:start w:val="1"/>
      <w:numFmt w:val="bullet"/>
      <w:lvlText w:val="•"/>
      <w:lvlJc w:val="left"/>
      <w:pPr>
        <w:ind w:left="8657" w:hanging="267"/>
      </w:pPr>
      <w:rPr>
        <w:rFonts w:hint="default"/>
      </w:rPr>
    </w:lvl>
  </w:abstractNum>
  <w:abstractNum w:abstractNumId="5" w15:restartNumberingAfterBreak="0">
    <w:nsid w:val="1EAE33CD"/>
    <w:multiLevelType w:val="hybridMultilevel"/>
    <w:tmpl w:val="09AC6702"/>
    <w:lvl w:ilvl="0" w:tplc="340054EA">
      <w:start w:val="1"/>
      <w:numFmt w:val="decimal"/>
      <w:lvlText w:val="(%1)"/>
      <w:lvlJc w:val="left"/>
      <w:pPr>
        <w:ind w:left="500" w:hanging="284"/>
      </w:pPr>
      <w:rPr>
        <w:rFonts w:ascii="Arial" w:eastAsia="Arial" w:hAnsi="Arial" w:hint="default"/>
        <w:spacing w:val="-1"/>
        <w:w w:val="99"/>
        <w:position w:val="10"/>
        <w:sz w:val="14"/>
        <w:szCs w:val="14"/>
      </w:rPr>
    </w:lvl>
    <w:lvl w:ilvl="1" w:tplc="2CE84C4E">
      <w:start w:val="1"/>
      <w:numFmt w:val="bullet"/>
      <w:lvlText w:val="•"/>
      <w:lvlJc w:val="left"/>
      <w:pPr>
        <w:ind w:left="1524" w:hanging="284"/>
      </w:pPr>
      <w:rPr>
        <w:rFonts w:hint="default"/>
      </w:rPr>
    </w:lvl>
    <w:lvl w:ilvl="2" w:tplc="E5D25C7C">
      <w:start w:val="1"/>
      <w:numFmt w:val="bullet"/>
      <w:lvlText w:val="•"/>
      <w:lvlJc w:val="left"/>
      <w:pPr>
        <w:ind w:left="2549" w:hanging="284"/>
      </w:pPr>
      <w:rPr>
        <w:rFonts w:hint="default"/>
      </w:rPr>
    </w:lvl>
    <w:lvl w:ilvl="3" w:tplc="738C4DAE">
      <w:start w:val="1"/>
      <w:numFmt w:val="bullet"/>
      <w:lvlText w:val="•"/>
      <w:lvlJc w:val="left"/>
      <w:pPr>
        <w:ind w:left="3573" w:hanging="284"/>
      </w:pPr>
      <w:rPr>
        <w:rFonts w:hint="default"/>
      </w:rPr>
    </w:lvl>
    <w:lvl w:ilvl="4" w:tplc="9028C712">
      <w:start w:val="1"/>
      <w:numFmt w:val="bullet"/>
      <w:lvlText w:val="•"/>
      <w:lvlJc w:val="left"/>
      <w:pPr>
        <w:ind w:left="4598" w:hanging="284"/>
      </w:pPr>
      <w:rPr>
        <w:rFonts w:hint="default"/>
      </w:rPr>
    </w:lvl>
    <w:lvl w:ilvl="5" w:tplc="84427294">
      <w:start w:val="1"/>
      <w:numFmt w:val="bullet"/>
      <w:lvlText w:val="•"/>
      <w:lvlJc w:val="left"/>
      <w:pPr>
        <w:ind w:left="5623" w:hanging="284"/>
      </w:pPr>
      <w:rPr>
        <w:rFonts w:hint="default"/>
      </w:rPr>
    </w:lvl>
    <w:lvl w:ilvl="6" w:tplc="3216C18A">
      <w:start w:val="1"/>
      <w:numFmt w:val="bullet"/>
      <w:lvlText w:val="•"/>
      <w:lvlJc w:val="left"/>
      <w:pPr>
        <w:ind w:left="6647" w:hanging="284"/>
      </w:pPr>
      <w:rPr>
        <w:rFonts w:hint="default"/>
      </w:rPr>
    </w:lvl>
    <w:lvl w:ilvl="7" w:tplc="65EA60E2">
      <w:start w:val="1"/>
      <w:numFmt w:val="bullet"/>
      <w:lvlText w:val="•"/>
      <w:lvlJc w:val="left"/>
      <w:pPr>
        <w:ind w:left="7672" w:hanging="284"/>
      </w:pPr>
      <w:rPr>
        <w:rFonts w:hint="default"/>
      </w:rPr>
    </w:lvl>
    <w:lvl w:ilvl="8" w:tplc="5C186720">
      <w:start w:val="1"/>
      <w:numFmt w:val="bullet"/>
      <w:lvlText w:val="•"/>
      <w:lvlJc w:val="left"/>
      <w:pPr>
        <w:ind w:left="8697" w:hanging="284"/>
      </w:pPr>
      <w:rPr>
        <w:rFonts w:hint="default"/>
      </w:rPr>
    </w:lvl>
  </w:abstractNum>
  <w:abstractNum w:abstractNumId="6" w15:restartNumberingAfterBreak="0">
    <w:nsid w:val="26A84074"/>
    <w:multiLevelType w:val="multilevel"/>
    <w:tmpl w:val="E7BC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C47876"/>
    <w:multiLevelType w:val="hybridMultilevel"/>
    <w:tmpl w:val="4A0864C6"/>
    <w:lvl w:ilvl="0" w:tplc="5B5E7D08">
      <w:start w:val="1"/>
      <w:numFmt w:val="decimal"/>
      <w:lvlText w:val="(%1)"/>
      <w:lvlJc w:val="left"/>
      <w:pPr>
        <w:ind w:left="845" w:hanging="349"/>
      </w:pPr>
      <w:rPr>
        <w:rFonts w:ascii="Arial" w:eastAsia="Arial" w:hAnsi="Arial" w:hint="default"/>
        <w:i/>
        <w:spacing w:val="-1"/>
        <w:w w:val="99"/>
        <w:sz w:val="14"/>
        <w:szCs w:val="14"/>
      </w:rPr>
    </w:lvl>
    <w:lvl w:ilvl="1" w:tplc="1A9AE466">
      <w:start w:val="1"/>
      <w:numFmt w:val="decimal"/>
      <w:lvlText w:val="(%2)"/>
      <w:lvlJc w:val="left"/>
      <w:pPr>
        <w:ind w:left="937" w:hanging="361"/>
      </w:pPr>
      <w:rPr>
        <w:rFonts w:ascii="Arial" w:eastAsia="Arial" w:hAnsi="Arial" w:hint="default"/>
        <w:i/>
        <w:spacing w:val="-1"/>
        <w:w w:val="99"/>
        <w:sz w:val="14"/>
        <w:szCs w:val="14"/>
      </w:rPr>
    </w:lvl>
    <w:lvl w:ilvl="2" w:tplc="A9F6E36C">
      <w:start w:val="1"/>
      <w:numFmt w:val="bullet"/>
      <w:lvlText w:val="•"/>
      <w:lvlJc w:val="left"/>
      <w:pPr>
        <w:ind w:left="2018" w:hanging="361"/>
      </w:pPr>
      <w:rPr>
        <w:rFonts w:hint="default"/>
      </w:rPr>
    </w:lvl>
    <w:lvl w:ilvl="3" w:tplc="664E2504">
      <w:start w:val="1"/>
      <w:numFmt w:val="bullet"/>
      <w:lvlText w:val="•"/>
      <w:lvlJc w:val="left"/>
      <w:pPr>
        <w:ind w:left="3099" w:hanging="361"/>
      </w:pPr>
      <w:rPr>
        <w:rFonts w:hint="default"/>
      </w:rPr>
    </w:lvl>
    <w:lvl w:ilvl="4" w:tplc="92820A60">
      <w:start w:val="1"/>
      <w:numFmt w:val="bullet"/>
      <w:lvlText w:val="•"/>
      <w:lvlJc w:val="left"/>
      <w:pPr>
        <w:ind w:left="4180" w:hanging="361"/>
      </w:pPr>
      <w:rPr>
        <w:rFonts w:hint="default"/>
      </w:rPr>
    </w:lvl>
    <w:lvl w:ilvl="5" w:tplc="4F98EC08">
      <w:start w:val="1"/>
      <w:numFmt w:val="bullet"/>
      <w:lvlText w:val="•"/>
      <w:lvlJc w:val="left"/>
      <w:pPr>
        <w:ind w:left="5261" w:hanging="361"/>
      </w:pPr>
      <w:rPr>
        <w:rFonts w:hint="default"/>
      </w:rPr>
    </w:lvl>
    <w:lvl w:ilvl="6" w:tplc="845C2820">
      <w:start w:val="1"/>
      <w:numFmt w:val="bullet"/>
      <w:lvlText w:val="•"/>
      <w:lvlJc w:val="left"/>
      <w:pPr>
        <w:ind w:left="6342" w:hanging="361"/>
      </w:pPr>
      <w:rPr>
        <w:rFonts w:hint="default"/>
      </w:rPr>
    </w:lvl>
    <w:lvl w:ilvl="7" w:tplc="9F60CEFE">
      <w:start w:val="1"/>
      <w:numFmt w:val="bullet"/>
      <w:lvlText w:val="•"/>
      <w:lvlJc w:val="left"/>
      <w:pPr>
        <w:ind w:left="7423" w:hanging="361"/>
      </w:pPr>
      <w:rPr>
        <w:rFonts w:hint="default"/>
      </w:rPr>
    </w:lvl>
    <w:lvl w:ilvl="8" w:tplc="891C920E">
      <w:start w:val="1"/>
      <w:numFmt w:val="bullet"/>
      <w:lvlText w:val="•"/>
      <w:lvlJc w:val="left"/>
      <w:pPr>
        <w:ind w:left="8504" w:hanging="361"/>
      </w:pPr>
      <w:rPr>
        <w:rFonts w:hint="default"/>
      </w:rPr>
    </w:lvl>
  </w:abstractNum>
  <w:abstractNum w:abstractNumId="8" w15:restartNumberingAfterBreak="0">
    <w:nsid w:val="26FB2A12"/>
    <w:multiLevelType w:val="hybridMultilevel"/>
    <w:tmpl w:val="5B8457D0"/>
    <w:lvl w:ilvl="0" w:tplc="31ECB66A">
      <w:start w:val="1"/>
      <w:numFmt w:val="bullet"/>
      <w:lvlText w:val=""/>
      <w:lvlJc w:val="left"/>
      <w:pPr>
        <w:ind w:left="925" w:hanging="349"/>
      </w:pPr>
      <w:rPr>
        <w:rFonts w:ascii="Symbol" w:eastAsia="Symbol" w:hAnsi="Symbol" w:hint="default"/>
        <w:w w:val="99"/>
        <w:sz w:val="20"/>
        <w:szCs w:val="20"/>
      </w:rPr>
    </w:lvl>
    <w:lvl w:ilvl="1" w:tplc="7FB0FF52">
      <w:start w:val="1"/>
      <w:numFmt w:val="bullet"/>
      <w:lvlText w:val="•"/>
      <w:lvlJc w:val="left"/>
      <w:pPr>
        <w:ind w:left="1909" w:hanging="349"/>
      </w:pPr>
      <w:rPr>
        <w:rFonts w:hint="default"/>
      </w:rPr>
    </w:lvl>
    <w:lvl w:ilvl="2" w:tplc="7EB0951C">
      <w:start w:val="1"/>
      <w:numFmt w:val="bullet"/>
      <w:lvlText w:val="•"/>
      <w:lvlJc w:val="left"/>
      <w:pPr>
        <w:ind w:left="2893" w:hanging="349"/>
      </w:pPr>
      <w:rPr>
        <w:rFonts w:hint="default"/>
      </w:rPr>
    </w:lvl>
    <w:lvl w:ilvl="3" w:tplc="C3808132">
      <w:start w:val="1"/>
      <w:numFmt w:val="bullet"/>
      <w:lvlText w:val="•"/>
      <w:lvlJc w:val="left"/>
      <w:pPr>
        <w:ind w:left="3877" w:hanging="349"/>
      </w:pPr>
      <w:rPr>
        <w:rFonts w:hint="default"/>
      </w:rPr>
    </w:lvl>
    <w:lvl w:ilvl="4" w:tplc="D0DE9236">
      <w:start w:val="1"/>
      <w:numFmt w:val="bullet"/>
      <w:lvlText w:val="•"/>
      <w:lvlJc w:val="left"/>
      <w:pPr>
        <w:ind w:left="4861" w:hanging="349"/>
      </w:pPr>
      <w:rPr>
        <w:rFonts w:hint="default"/>
      </w:rPr>
    </w:lvl>
    <w:lvl w:ilvl="5" w:tplc="86B8C566">
      <w:start w:val="1"/>
      <w:numFmt w:val="bullet"/>
      <w:lvlText w:val="•"/>
      <w:lvlJc w:val="left"/>
      <w:pPr>
        <w:ind w:left="5845" w:hanging="349"/>
      </w:pPr>
      <w:rPr>
        <w:rFonts w:hint="default"/>
      </w:rPr>
    </w:lvl>
    <w:lvl w:ilvl="6" w:tplc="7A6AB96E">
      <w:start w:val="1"/>
      <w:numFmt w:val="bullet"/>
      <w:lvlText w:val="•"/>
      <w:lvlJc w:val="left"/>
      <w:pPr>
        <w:ind w:left="6829" w:hanging="349"/>
      </w:pPr>
      <w:rPr>
        <w:rFonts w:hint="default"/>
      </w:rPr>
    </w:lvl>
    <w:lvl w:ilvl="7" w:tplc="567C328A">
      <w:start w:val="1"/>
      <w:numFmt w:val="bullet"/>
      <w:lvlText w:val="•"/>
      <w:lvlJc w:val="left"/>
      <w:pPr>
        <w:ind w:left="7814" w:hanging="349"/>
      </w:pPr>
      <w:rPr>
        <w:rFonts w:hint="default"/>
      </w:rPr>
    </w:lvl>
    <w:lvl w:ilvl="8" w:tplc="6756D3C2">
      <w:start w:val="1"/>
      <w:numFmt w:val="bullet"/>
      <w:lvlText w:val="•"/>
      <w:lvlJc w:val="left"/>
      <w:pPr>
        <w:ind w:left="8798" w:hanging="349"/>
      </w:pPr>
      <w:rPr>
        <w:rFonts w:hint="default"/>
      </w:rPr>
    </w:lvl>
  </w:abstractNum>
  <w:abstractNum w:abstractNumId="9" w15:restartNumberingAfterBreak="0">
    <w:nsid w:val="438D3989"/>
    <w:multiLevelType w:val="hybridMultilevel"/>
    <w:tmpl w:val="DDF6E836"/>
    <w:lvl w:ilvl="0" w:tplc="0C1839F4">
      <w:start w:val="1"/>
      <w:numFmt w:val="bullet"/>
      <w:lvlText w:val=""/>
      <w:lvlJc w:val="left"/>
      <w:pPr>
        <w:ind w:left="825" w:hanging="349"/>
      </w:pPr>
      <w:rPr>
        <w:rFonts w:ascii="Symbol" w:eastAsia="Symbol" w:hAnsi="Symbol" w:hint="default"/>
        <w:w w:val="99"/>
        <w:sz w:val="20"/>
        <w:szCs w:val="20"/>
      </w:rPr>
    </w:lvl>
    <w:lvl w:ilvl="1" w:tplc="C7D004C8">
      <w:start w:val="1"/>
      <w:numFmt w:val="bullet"/>
      <w:lvlText w:val="•"/>
      <w:lvlJc w:val="left"/>
      <w:pPr>
        <w:ind w:left="1833" w:hanging="349"/>
      </w:pPr>
      <w:rPr>
        <w:rFonts w:hint="default"/>
      </w:rPr>
    </w:lvl>
    <w:lvl w:ilvl="2" w:tplc="DB76C748">
      <w:start w:val="1"/>
      <w:numFmt w:val="bullet"/>
      <w:lvlText w:val="•"/>
      <w:lvlJc w:val="left"/>
      <w:pPr>
        <w:ind w:left="2841" w:hanging="349"/>
      </w:pPr>
      <w:rPr>
        <w:rFonts w:hint="default"/>
      </w:rPr>
    </w:lvl>
    <w:lvl w:ilvl="3" w:tplc="B2062FE8">
      <w:start w:val="1"/>
      <w:numFmt w:val="bullet"/>
      <w:lvlText w:val="•"/>
      <w:lvlJc w:val="left"/>
      <w:pPr>
        <w:ind w:left="3849" w:hanging="349"/>
      </w:pPr>
      <w:rPr>
        <w:rFonts w:hint="default"/>
      </w:rPr>
    </w:lvl>
    <w:lvl w:ilvl="4" w:tplc="467C726C">
      <w:start w:val="1"/>
      <w:numFmt w:val="bullet"/>
      <w:lvlText w:val="•"/>
      <w:lvlJc w:val="left"/>
      <w:pPr>
        <w:ind w:left="4857" w:hanging="349"/>
      </w:pPr>
      <w:rPr>
        <w:rFonts w:hint="default"/>
      </w:rPr>
    </w:lvl>
    <w:lvl w:ilvl="5" w:tplc="1DF21230">
      <w:start w:val="1"/>
      <w:numFmt w:val="bullet"/>
      <w:lvlText w:val="•"/>
      <w:lvlJc w:val="left"/>
      <w:pPr>
        <w:ind w:left="5865" w:hanging="349"/>
      </w:pPr>
      <w:rPr>
        <w:rFonts w:hint="default"/>
      </w:rPr>
    </w:lvl>
    <w:lvl w:ilvl="6" w:tplc="429A59A2">
      <w:start w:val="1"/>
      <w:numFmt w:val="bullet"/>
      <w:lvlText w:val="•"/>
      <w:lvlJc w:val="left"/>
      <w:pPr>
        <w:ind w:left="6873" w:hanging="349"/>
      </w:pPr>
      <w:rPr>
        <w:rFonts w:hint="default"/>
      </w:rPr>
    </w:lvl>
    <w:lvl w:ilvl="7" w:tplc="07A48318">
      <w:start w:val="1"/>
      <w:numFmt w:val="bullet"/>
      <w:lvlText w:val="•"/>
      <w:lvlJc w:val="left"/>
      <w:pPr>
        <w:ind w:left="7882" w:hanging="349"/>
      </w:pPr>
      <w:rPr>
        <w:rFonts w:hint="default"/>
      </w:rPr>
    </w:lvl>
    <w:lvl w:ilvl="8" w:tplc="A192E146">
      <w:start w:val="1"/>
      <w:numFmt w:val="bullet"/>
      <w:lvlText w:val="•"/>
      <w:lvlJc w:val="left"/>
      <w:pPr>
        <w:ind w:left="8890" w:hanging="349"/>
      </w:pPr>
      <w:rPr>
        <w:rFonts w:hint="default"/>
      </w:rPr>
    </w:lvl>
  </w:abstractNum>
  <w:abstractNum w:abstractNumId="10" w15:restartNumberingAfterBreak="0">
    <w:nsid w:val="44A23FE8"/>
    <w:multiLevelType w:val="hybridMultilevel"/>
    <w:tmpl w:val="D2627B68"/>
    <w:lvl w:ilvl="0" w:tplc="CDFE26D6">
      <w:start w:val="1"/>
      <w:numFmt w:val="decimal"/>
      <w:lvlText w:val="(%1)"/>
      <w:lvlJc w:val="left"/>
      <w:pPr>
        <w:ind w:left="500" w:hanging="284"/>
      </w:pPr>
      <w:rPr>
        <w:rFonts w:ascii="Arial" w:eastAsia="Arial" w:hAnsi="Arial" w:hint="default"/>
        <w:i/>
        <w:spacing w:val="-1"/>
        <w:w w:val="99"/>
        <w:sz w:val="14"/>
        <w:szCs w:val="14"/>
      </w:rPr>
    </w:lvl>
    <w:lvl w:ilvl="1" w:tplc="2ABAA73A">
      <w:start w:val="1"/>
      <w:numFmt w:val="bullet"/>
      <w:lvlText w:val="•"/>
      <w:lvlJc w:val="left"/>
      <w:pPr>
        <w:ind w:left="1526" w:hanging="284"/>
      </w:pPr>
      <w:rPr>
        <w:rFonts w:hint="default"/>
      </w:rPr>
    </w:lvl>
    <w:lvl w:ilvl="2" w:tplc="E786C630">
      <w:start w:val="1"/>
      <w:numFmt w:val="bullet"/>
      <w:lvlText w:val="•"/>
      <w:lvlJc w:val="left"/>
      <w:pPr>
        <w:ind w:left="2553" w:hanging="284"/>
      </w:pPr>
      <w:rPr>
        <w:rFonts w:hint="default"/>
      </w:rPr>
    </w:lvl>
    <w:lvl w:ilvl="3" w:tplc="C7E0850E">
      <w:start w:val="1"/>
      <w:numFmt w:val="bullet"/>
      <w:lvlText w:val="•"/>
      <w:lvlJc w:val="left"/>
      <w:pPr>
        <w:ind w:left="3579" w:hanging="284"/>
      </w:pPr>
      <w:rPr>
        <w:rFonts w:hint="default"/>
      </w:rPr>
    </w:lvl>
    <w:lvl w:ilvl="4" w:tplc="0748C298">
      <w:start w:val="1"/>
      <w:numFmt w:val="bullet"/>
      <w:lvlText w:val="•"/>
      <w:lvlJc w:val="left"/>
      <w:pPr>
        <w:ind w:left="4606" w:hanging="284"/>
      </w:pPr>
      <w:rPr>
        <w:rFonts w:hint="default"/>
      </w:rPr>
    </w:lvl>
    <w:lvl w:ilvl="5" w:tplc="CE4CC0C0">
      <w:start w:val="1"/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0B2CEFEA">
      <w:start w:val="1"/>
      <w:numFmt w:val="bullet"/>
      <w:lvlText w:val="•"/>
      <w:lvlJc w:val="left"/>
      <w:pPr>
        <w:ind w:left="6659" w:hanging="284"/>
      </w:pPr>
      <w:rPr>
        <w:rFonts w:hint="default"/>
      </w:rPr>
    </w:lvl>
    <w:lvl w:ilvl="7" w:tplc="7DC0B246">
      <w:start w:val="1"/>
      <w:numFmt w:val="bullet"/>
      <w:lvlText w:val="•"/>
      <w:lvlJc w:val="left"/>
      <w:pPr>
        <w:ind w:left="7686" w:hanging="284"/>
      </w:pPr>
      <w:rPr>
        <w:rFonts w:hint="default"/>
      </w:rPr>
    </w:lvl>
    <w:lvl w:ilvl="8" w:tplc="9926E8EC">
      <w:start w:val="1"/>
      <w:numFmt w:val="bullet"/>
      <w:lvlText w:val="•"/>
      <w:lvlJc w:val="left"/>
      <w:pPr>
        <w:ind w:left="8713" w:hanging="284"/>
      </w:pPr>
      <w:rPr>
        <w:rFonts w:hint="default"/>
      </w:rPr>
    </w:lvl>
  </w:abstractNum>
  <w:abstractNum w:abstractNumId="11" w15:restartNumberingAfterBreak="0">
    <w:nsid w:val="45074FEC"/>
    <w:multiLevelType w:val="hybridMultilevel"/>
    <w:tmpl w:val="CBE0DB0C"/>
    <w:lvl w:ilvl="0" w:tplc="ECFC0E3A">
      <w:start w:val="10"/>
      <w:numFmt w:val="decimal"/>
      <w:lvlText w:val="(%1)"/>
      <w:lvlJc w:val="left"/>
      <w:pPr>
        <w:ind w:left="224" w:hanging="286"/>
      </w:pPr>
      <w:rPr>
        <w:rFonts w:ascii="Arial" w:eastAsia="Arial" w:hAnsi="Arial" w:hint="default"/>
        <w:spacing w:val="-1"/>
        <w:w w:val="99"/>
        <w:sz w:val="14"/>
        <w:szCs w:val="14"/>
      </w:rPr>
    </w:lvl>
    <w:lvl w:ilvl="1" w:tplc="33B06DBA">
      <w:start w:val="1"/>
      <w:numFmt w:val="bullet"/>
      <w:lvlText w:val=""/>
      <w:lvlJc w:val="left"/>
      <w:pPr>
        <w:ind w:left="818" w:hanging="351"/>
      </w:pPr>
      <w:rPr>
        <w:rFonts w:ascii="Symbol" w:eastAsia="Symbol" w:hAnsi="Symbol" w:hint="default"/>
        <w:w w:val="99"/>
        <w:sz w:val="20"/>
        <w:szCs w:val="20"/>
      </w:rPr>
    </w:lvl>
    <w:lvl w:ilvl="2" w:tplc="12965A18">
      <w:start w:val="1"/>
      <w:numFmt w:val="bullet"/>
      <w:lvlText w:val="•"/>
      <w:lvlJc w:val="left"/>
      <w:pPr>
        <w:ind w:left="1939" w:hanging="351"/>
      </w:pPr>
      <w:rPr>
        <w:rFonts w:hint="default"/>
      </w:rPr>
    </w:lvl>
    <w:lvl w:ilvl="3" w:tplc="9F82EDDE">
      <w:start w:val="1"/>
      <w:numFmt w:val="bullet"/>
      <w:lvlText w:val="•"/>
      <w:lvlJc w:val="left"/>
      <w:pPr>
        <w:ind w:left="3059" w:hanging="351"/>
      </w:pPr>
      <w:rPr>
        <w:rFonts w:hint="default"/>
      </w:rPr>
    </w:lvl>
    <w:lvl w:ilvl="4" w:tplc="ED6E5DAE">
      <w:start w:val="1"/>
      <w:numFmt w:val="bullet"/>
      <w:lvlText w:val="•"/>
      <w:lvlJc w:val="left"/>
      <w:pPr>
        <w:ind w:left="4180" w:hanging="351"/>
      </w:pPr>
      <w:rPr>
        <w:rFonts w:hint="default"/>
      </w:rPr>
    </w:lvl>
    <w:lvl w:ilvl="5" w:tplc="7B001EF2">
      <w:start w:val="1"/>
      <w:numFmt w:val="bullet"/>
      <w:lvlText w:val="•"/>
      <w:lvlJc w:val="left"/>
      <w:pPr>
        <w:ind w:left="5301" w:hanging="351"/>
      </w:pPr>
      <w:rPr>
        <w:rFonts w:hint="default"/>
      </w:rPr>
    </w:lvl>
    <w:lvl w:ilvl="6" w:tplc="9794AF86">
      <w:start w:val="1"/>
      <w:numFmt w:val="bullet"/>
      <w:lvlText w:val="•"/>
      <w:lvlJc w:val="left"/>
      <w:pPr>
        <w:ind w:left="6422" w:hanging="351"/>
      </w:pPr>
      <w:rPr>
        <w:rFonts w:hint="default"/>
      </w:rPr>
    </w:lvl>
    <w:lvl w:ilvl="7" w:tplc="418032DC">
      <w:start w:val="1"/>
      <w:numFmt w:val="bullet"/>
      <w:lvlText w:val="•"/>
      <w:lvlJc w:val="left"/>
      <w:pPr>
        <w:ind w:left="7543" w:hanging="351"/>
      </w:pPr>
      <w:rPr>
        <w:rFonts w:hint="default"/>
      </w:rPr>
    </w:lvl>
    <w:lvl w:ilvl="8" w:tplc="B04844CA">
      <w:start w:val="1"/>
      <w:numFmt w:val="bullet"/>
      <w:lvlText w:val="•"/>
      <w:lvlJc w:val="left"/>
      <w:pPr>
        <w:ind w:left="8664" w:hanging="351"/>
      </w:pPr>
      <w:rPr>
        <w:rFonts w:hint="default"/>
      </w:rPr>
    </w:lvl>
  </w:abstractNum>
  <w:abstractNum w:abstractNumId="12" w15:restartNumberingAfterBreak="0">
    <w:nsid w:val="4BF77ED6"/>
    <w:multiLevelType w:val="hybridMultilevel"/>
    <w:tmpl w:val="47F4CD64"/>
    <w:lvl w:ilvl="0" w:tplc="292A7E26">
      <w:start w:val="1"/>
      <w:numFmt w:val="decimal"/>
      <w:lvlText w:val="(%1)"/>
      <w:lvlJc w:val="left"/>
      <w:pPr>
        <w:ind w:left="500" w:hanging="284"/>
      </w:pPr>
      <w:rPr>
        <w:rFonts w:ascii="Arial" w:eastAsia="Arial" w:hAnsi="Arial" w:hint="default"/>
        <w:spacing w:val="-1"/>
        <w:sz w:val="16"/>
        <w:szCs w:val="16"/>
      </w:rPr>
    </w:lvl>
    <w:lvl w:ilvl="1" w:tplc="FD3A3D50">
      <w:start w:val="1"/>
      <w:numFmt w:val="decimal"/>
      <w:lvlText w:val="(%2)"/>
      <w:lvlJc w:val="left"/>
      <w:pPr>
        <w:ind w:left="825" w:hanging="349"/>
      </w:pPr>
      <w:rPr>
        <w:rFonts w:ascii="Arial" w:eastAsia="Arial" w:hAnsi="Arial" w:hint="default"/>
        <w:i/>
        <w:spacing w:val="-1"/>
        <w:w w:val="99"/>
        <w:sz w:val="14"/>
        <w:szCs w:val="14"/>
      </w:rPr>
    </w:lvl>
    <w:lvl w:ilvl="2" w:tplc="A90C9F62">
      <w:start w:val="1"/>
      <w:numFmt w:val="bullet"/>
      <w:lvlText w:val="•"/>
      <w:lvlJc w:val="left"/>
      <w:pPr>
        <w:ind w:left="1800" w:hanging="349"/>
      </w:pPr>
      <w:rPr>
        <w:rFonts w:hint="default"/>
      </w:rPr>
    </w:lvl>
    <w:lvl w:ilvl="3" w:tplc="0F1C158E">
      <w:start w:val="1"/>
      <w:numFmt w:val="bullet"/>
      <w:lvlText w:val="•"/>
      <w:lvlJc w:val="left"/>
      <w:pPr>
        <w:ind w:left="2776" w:hanging="349"/>
      </w:pPr>
      <w:rPr>
        <w:rFonts w:hint="default"/>
      </w:rPr>
    </w:lvl>
    <w:lvl w:ilvl="4" w:tplc="2E6E7810">
      <w:start w:val="1"/>
      <w:numFmt w:val="bullet"/>
      <w:lvlText w:val="•"/>
      <w:lvlJc w:val="left"/>
      <w:pPr>
        <w:ind w:left="3752" w:hanging="349"/>
      </w:pPr>
      <w:rPr>
        <w:rFonts w:hint="default"/>
      </w:rPr>
    </w:lvl>
    <w:lvl w:ilvl="5" w:tplc="9D30BFA6">
      <w:start w:val="1"/>
      <w:numFmt w:val="bullet"/>
      <w:lvlText w:val="•"/>
      <w:lvlJc w:val="left"/>
      <w:pPr>
        <w:ind w:left="4728" w:hanging="349"/>
      </w:pPr>
      <w:rPr>
        <w:rFonts w:hint="default"/>
      </w:rPr>
    </w:lvl>
    <w:lvl w:ilvl="6" w:tplc="B67E90C8">
      <w:start w:val="1"/>
      <w:numFmt w:val="bullet"/>
      <w:lvlText w:val="•"/>
      <w:lvlJc w:val="left"/>
      <w:pPr>
        <w:ind w:left="5703" w:hanging="349"/>
      </w:pPr>
      <w:rPr>
        <w:rFonts w:hint="default"/>
      </w:rPr>
    </w:lvl>
    <w:lvl w:ilvl="7" w:tplc="F2A08972">
      <w:start w:val="1"/>
      <w:numFmt w:val="bullet"/>
      <w:lvlText w:val="•"/>
      <w:lvlJc w:val="left"/>
      <w:pPr>
        <w:ind w:left="6679" w:hanging="349"/>
      </w:pPr>
      <w:rPr>
        <w:rFonts w:hint="default"/>
      </w:rPr>
    </w:lvl>
    <w:lvl w:ilvl="8" w:tplc="66C4055E">
      <w:start w:val="1"/>
      <w:numFmt w:val="bullet"/>
      <w:lvlText w:val="•"/>
      <w:lvlJc w:val="left"/>
      <w:pPr>
        <w:ind w:left="7655" w:hanging="349"/>
      </w:pPr>
      <w:rPr>
        <w:rFonts w:hint="default"/>
      </w:rPr>
    </w:lvl>
  </w:abstractNum>
  <w:abstractNum w:abstractNumId="13" w15:restartNumberingAfterBreak="0">
    <w:nsid w:val="4DB26E68"/>
    <w:multiLevelType w:val="multilevel"/>
    <w:tmpl w:val="D9D6A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4464355"/>
    <w:multiLevelType w:val="hybridMultilevel"/>
    <w:tmpl w:val="AF189E1E"/>
    <w:lvl w:ilvl="0" w:tplc="532AD7BA">
      <w:start w:val="1"/>
      <w:numFmt w:val="decimal"/>
      <w:lvlText w:val="(%1)"/>
      <w:lvlJc w:val="left"/>
      <w:pPr>
        <w:ind w:left="925" w:hanging="360"/>
      </w:pPr>
      <w:rPr>
        <w:rFonts w:ascii="Arial" w:eastAsia="Arial" w:hAnsi="Arial" w:hint="default"/>
        <w:i/>
        <w:spacing w:val="-1"/>
        <w:w w:val="99"/>
        <w:sz w:val="14"/>
        <w:szCs w:val="14"/>
      </w:rPr>
    </w:lvl>
    <w:lvl w:ilvl="1" w:tplc="A31E651C">
      <w:start w:val="1"/>
      <w:numFmt w:val="decimal"/>
      <w:lvlText w:val="(%2)"/>
      <w:lvlJc w:val="left"/>
      <w:pPr>
        <w:ind w:left="1240" w:hanging="348"/>
      </w:pPr>
      <w:rPr>
        <w:rFonts w:ascii="Arial" w:eastAsia="Arial" w:hAnsi="Arial" w:hint="default"/>
        <w:i/>
        <w:spacing w:val="-1"/>
        <w:w w:val="99"/>
        <w:sz w:val="14"/>
        <w:szCs w:val="14"/>
      </w:rPr>
    </w:lvl>
    <w:lvl w:ilvl="2" w:tplc="4BC08F14">
      <w:start w:val="1"/>
      <w:numFmt w:val="bullet"/>
      <w:lvlText w:val="•"/>
      <w:lvlJc w:val="left"/>
      <w:pPr>
        <w:ind w:left="2895" w:hanging="348"/>
      </w:pPr>
      <w:rPr>
        <w:rFonts w:hint="default"/>
      </w:rPr>
    </w:lvl>
    <w:lvl w:ilvl="3" w:tplc="5D18F580">
      <w:start w:val="1"/>
      <w:numFmt w:val="bullet"/>
      <w:lvlText w:val="•"/>
      <w:lvlJc w:val="left"/>
      <w:pPr>
        <w:ind w:left="4550" w:hanging="348"/>
      </w:pPr>
      <w:rPr>
        <w:rFonts w:hint="default"/>
      </w:rPr>
    </w:lvl>
    <w:lvl w:ilvl="4" w:tplc="BCE87F12">
      <w:start w:val="1"/>
      <w:numFmt w:val="bullet"/>
      <w:lvlText w:val="•"/>
      <w:lvlJc w:val="left"/>
      <w:pPr>
        <w:ind w:left="6206" w:hanging="348"/>
      </w:pPr>
      <w:rPr>
        <w:rFonts w:hint="default"/>
      </w:rPr>
    </w:lvl>
    <w:lvl w:ilvl="5" w:tplc="7C1008B6">
      <w:start w:val="1"/>
      <w:numFmt w:val="bullet"/>
      <w:lvlText w:val="•"/>
      <w:lvlJc w:val="left"/>
      <w:pPr>
        <w:ind w:left="7861" w:hanging="348"/>
      </w:pPr>
      <w:rPr>
        <w:rFonts w:hint="default"/>
      </w:rPr>
    </w:lvl>
    <w:lvl w:ilvl="6" w:tplc="AFFC0596">
      <w:start w:val="1"/>
      <w:numFmt w:val="bullet"/>
      <w:lvlText w:val="•"/>
      <w:lvlJc w:val="left"/>
      <w:pPr>
        <w:ind w:left="9516" w:hanging="348"/>
      </w:pPr>
      <w:rPr>
        <w:rFonts w:hint="default"/>
      </w:rPr>
    </w:lvl>
    <w:lvl w:ilvl="7" w:tplc="ACEAFB2A">
      <w:start w:val="1"/>
      <w:numFmt w:val="bullet"/>
      <w:lvlText w:val="•"/>
      <w:lvlJc w:val="left"/>
      <w:pPr>
        <w:ind w:left="11172" w:hanging="348"/>
      </w:pPr>
      <w:rPr>
        <w:rFonts w:hint="default"/>
      </w:rPr>
    </w:lvl>
    <w:lvl w:ilvl="8" w:tplc="3CF61ACC">
      <w:start w:val="1"/>
      <w:numFmt w:val="bullet"/>
      <w:lvlText w:val="•"/>
      <w:lvlJc w:val="left"/>
      <w:pPr>
        <w:ind w:left="12827" w:hanging="348"/>
      </w:pPr>
      <w:rPr>
        <w:rFonts w:hint="default"/>
      </w:rPr>
    </w:lvl>
  </w:abstractNum>
  <w:abstractNum w:abstractNumId="15" w15:restartNumberingAfterBreak="0">
    <w:nsid w:val="5F7A1BFE"/>
    <w:multiLevelType w:val="multilevel"/>
    <w:tmpl w:val="0D74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CE2365"/>
    <w:multiLevelType w:val="hybridMultilevel"/>
    <w:tmpl w:val="0032D044"/>
    <w:lvl w:ilvl="0" w:tplc="7E2AB88E">
      <w:start w:val="1"/>
      <w:numFmt w:val="decimal"/>
      <w:lvlText w:val="(%1)"/>
      <w:lvlJc w:val="left"/>
      <w:pPr>
        <w:ind w:left="500" w:hanging="284"/>
      </w:pPr>
      <w:rPr>
        <w:rFonts w:ascii="Arial" w:eastAsia="Arial" w:hAnsi="Arial" w:hint="default"/>
        <w:spacing w:val="-1"/>
        <w:w w:val="99"/>
        <w:position w:val="10"/>
        <w:sz w:val="14"/>
        <w:szCs w:val="14"/>
      </w:rPr>
    </w:lvl>
    <w:lvl w:ilvl="1" w:tplc="CAAA57B0">
      <w:start w:val="1"/>
      <w:numFmt w:val="bullet"/>
      <w:lvlText w:val="•"/>
      <w:lvlJc w:val="left"/>
      <w:pPr>
        <w:ind w:left="1524" w:hanging="284"/>
      </w:pPr>
      <w:rPr>
        <w:rFonts w:hint="default"/>
      </w:rPr>
    </w:lvl>
    <w:lvl w:ilvl="2" w:tplc="67D26AA8">
      <w:start w:val="1"/>
      <w:numFmt w:val="bullet"/>
      <w:lvlText w:val="•"/>
      <w:lvlJc w:val="left"/>
      <w:pPr>
        <w:ind w:left="2549" w:hanging="284"/>
      </w:pPr>
      <w:rPr>
        <w:rFonts w:hint="default"/>
      </w:rPr>
    </w:lvl>
    <w:lvl w:ilvl="3" w:tplc="26C499A0">
      <w:start w:val="1"/>
      <w:numFmt w:val="bullet"/>
      <w:lvlText w:val="•"/>
      <w:lvlJc w:val="left"/>
      <w:pPr>
        <w:ind w:left="3573" w:hanging="284"/>
      </w:pPr>
      <w:rPr>
        <w:rFonts w:hint="default"/>
      </w:rPr>
    </w:lvl>
    <w:lvl w:ilvl="4" w:tplc="02EC748A">
      <w:start w:val="1"/>
      <w:numFmt w:val="bullet"/>
      <w:lvlText w:val="•"/>
      <w:lvlJc w:val="left"/>
      <w:pPr>
        <w:ind w:left="4598" w:hanging="284"/>
      </w:pPr>
      <w:rPr>
        <w:rFonts w:hint="default"/>
      </w:rPr>
    </w:lvl>
    <w:lvl w:ilvl="5" w:tplc="4628CA10">
      <w:start w:val="1"/>
      <w:numFmt w:val="bullet"/>
      <w:lvlText w:val="•"/>
      <w:lvlJc w:val="left"/>
      <w:pPr>
        <w:ind w:left="5623" w:hanging="284"/>
      </w:pPr>
      <w:rPr>
        <w:rFonts w:hint="default"/>
      </w:rPr>
    </w:lvl>
    <w:lvl w:ilvl="6" w:tplc="736A48CE">
      <w:start w:val="1"/>
      <w:numFmt w:val="bullet"/>
      <w:lvlText w:val="•"/>
      <w:lvlJc w:val="left"/>
      <w:pPr>
        <w:ind w:left="6647" w:hanging="284"/>
      </w:pPr>
      <w:rPr>
        <w:rFonts w:hint="default"/>
      </w:rPr>
    </w:lvl>
    <w:lvl w:ilvl="7" w:tplc="5BC4D594">
      <w:start w:val="1"/>
      <w:numFmt w:val="bullet"/>
      <w:lvlText w:val="•"/>
      <w:lvlJc w:val="left"/>
      <w:pPr>
        <w:ind w:left="7672" w:hanging="284"/>
      </w:pPr>
      <w:rPr>
        <w:rFonts w:hint="default"/>
      </w:rPr>
    </w:lvl>
    <w:lvl w:ilvl="8" w:tplc="3FC02B44">
      <w:start w:val="1"/>
      <w:numFmt w:val="bullet"/>
      <w:lvlText w:val="•"/>
      <w:lvlJc w:val="left"/>
      <w:pPr>
        <w:ind w:left="8697" w:hanging="284"/>
      </w:pPr>
      <w:rPr>
        <w:rFonts w:hint="default"/>
      </w:rPr>
    </w:lvl>
  </w:abstractNum>
  <w:abstractNum w:abstractNumId="17" w15:restartNumberingAfterBreak="0">
    <w:nsid w:val="707A3815"/>
    <w:multiLevelType w:val="hybridMultilevel"/>
    <w:tmpl w:val="625E27F8"/>
    <w:lvl w:ilvl="0" w:tplc="C21A166E">
      <w:start w:val="9"/>
      <w:numFmt w:val="decimal"/>
      <w:lvlText w:val="(%1)"/>
      <w:lvlJc w:val="left"/>
      <w:pPr>
        <w:ind w:left="224" w:hanging="209"/>
        <w:jc w:val="right"/>
      </w:pPr>
      <w:rPr>
        <w:rFonts w:ascii="Arial" w:eastAsia="Arial" w:hAnsi="Arial" w:hint="default"/>
        <w:i/>
        <w:spacing w:val="-1"/>
        <w:w w:val="99"/>
        <w:sz w:val="14"/>
        <w:szCs w:val="14"/>
      </w:rPr>
    </w:lvl>
    <w:lvl w:ilvl="1" w:tplc="F684C814">
      <w:start w:val="1"/>
      <w:numFmt w:val="bullet"/>
      <w:lvlText w:val=""/>
      <w:lvlJc w:val="left"/>
      <w:pPr>
        <w:ind w:left="945" w:hanging="349"/>
      </w:pPr>
      <w:rPr>
        <w:rFonts w:ascii="Symbol" w:eastAsia="Symbol" w:hAnsi="Symbol" w:hint="default"/>
        <w:w w:val="99"/>
        <w:sz w:val="20"/>
        <w:szCs w:val="20"/>
      </w:rPr>
    </w:lvl>
    <w:lvl w:ilvl="2" w:tplc="494EA2DC">
      <w:start w:val="1"/>
      <w:numFmt w:val="bullet"/>
      <w:lvlText w:val="•"/>
      <w:lvlJc w:val="left"/>
      <w:pPr>
        <w:ind w:left="945" w:hanging="349"/>
      </w:pPr>
      <w:rPr>
        <w:rFonts w:hint="default"/>
      </w:rPr>
    </w:lvl>
    <w:lvl w:ilvl="3" w:tplc="55DEBDA0">
      <w:start w:val="1"/>
      <w:numFmt w:val="bullet"/>
      <w:lvlText w:val="•"/>
      <w:lvlJc w:val="left"/>
      <w:pPr>
        <w:ind w:left="2220" w:hanging="349"/>
      </w:pPr>
      <w:rPr>
        <w:rFonts w:hint="default"/>
      </w:rPr>
    </w:lvl>
    <w:lvl w:ilvl="4" w:tplc="405091D0">
      <w:start w:val="1"/>
      <w:numFmt w:val="bullet"/>
      <w:lvlText w:val="•"/>
      <w:lvlJc w:val="left"/>
      <w:pPr>
        <w:ind w:left="3495" w:hanging="349"/>
      </w:pPr>
      <w:rPr>
        <w:rFonts w:hint="default"/>
      </w:rPr>
    </w:lvl>
    <w:lvl w:ilvl="5" w:tplc="54DE5184">
      <w:start w:val="1"/>
      <w:numFmt w:val="bullet"/>
      <w:lvlText w:val="•"/>
      <w:lvlJc w:val="left"/>
      <w:pPr>
        <w:ind w:left="4770" w:hanging="349"/>
      </w:pPr>
      <w:rPr>
        <w:rFonts w:hint="default"/>
      </w:rPr>
    </w:lvl>
    <w:lvl w:ilvl="6" w:tplc="C7A6BE44">
      <w:start w:val="1"/>
      <w:numFmt w:val="bullet"/>
      <w:lvlText w:val="•"/>
      <w:lvlJc w:val="left"/>
      <w:pPr>
        <w:ind w:left="6045" w:hanging="349"/>
      </w:pPr>
      <w:rPr>
        <w:rFonts w:hint="default"/>
      </w:rPr>
    </w:lvl>
    <w:lvl w:ilvl="7" w:tplc="BB9E350C">
      <w:start w:val="1"/>
      <w:numFmt w:val="bullet"/>
      <w:lvlText w:val="•"/>
      <w:lvlJc w:val="left"/>
      <w:pPr>
        <w:ind w:left="7321" w:hanging="349"/>
      </w:pPr>
      <w:rPr>
        <w:rFonts w:hint="default"/>
      </w:rPr>
    </w:lvl>
    <w:lvl w:ilvl="8" w:tplc="5AE0B37C">
      <w:start w:val="1"/>
      <w:numFmt w:val="bullet"/>
      <w:lvlText w:val="•"/>
      <w:lvlJc w:val="left"/>
      <w:pPr>
        <w:ind w:left="8596" w:hanging="349"/>
      </w:pPr>
      <w:rPr>
        <w:rFonts w:hint="default"/>
      </w:rPr>
    </w:lvl>
  </w:abstractNum>
  <w:abstractNum w:abstractNumId="18" w15:restartNumberingAfterBreak="0">
    <w:nsid w:val="77B2457D"/>
    <w:multiLevelType w:val="hybridMultilevel"/>
    <w:tmpl w:val="324037CC"/>
    <w:lvl w:ilvl="0" w:tplc="DEB8D916">
      <w:start w:val="1"/>
      <w:numFmt w:val="decimal"/>
      <w:lvlText w:val="(%1)"/>
      <w:lvlJc w:val="left"/>
      <w:pPr>
        <w:ind w:left="620" w:hanging="284"/>
      </w:pPr>
      <w:rPr>
        <w:rFonts w:ascii="Arial" w:eastAsia="Arial" w:hAnsi="Arial" w:hint="default"/>
        <w:spacing w:val="-1"/>
        <w:sz w:val="16"/>
        <w:szCs w:val="16"/>
      </w:rPr>
    </w:lvl>
    <w:lvl w:ilvl="1" w:tplc="B6A67E80">
      <w:start w:val="1"/>
      <w:numFmt w:val="bullet"/>
      <w:lvlText w:val="•"/>
      <w:lvlJc w:val="left"/>
      <w:pPr>
        <w:ind w:left="1666" w:hanging="284"/>
      </w:pPr>
      <w:rPr>
        <w:rFonts w:hint="default"/>
      </w:rPr>
    </w:lvl>
    <w:lvl w:ilvl="2" w:tplc="8E24A6DC">
      <w:start w:val="1"/>
      <w:numFmt w:val="bullet"/>
      <w:lvlText w:val="•"/>
      <w:lvlJc w:val="left"/>
      <w:pPr>
        <w:ind w:left="2713" w:hanging="284"/>
      </w:pPr>
      <w:rPr>
        <w:rFonts w:hint="default"/>
      </w:rPr>
    </w:lvl>
    <w:lvl w:ilvl="3" w:tplc="D6DE911C">
      <w:start w:val="1"/>
      <w:numFmt w:val="bullet"/>
      <w:lvlText w:val="•"/>
      <w:lvlJc w:val="left"/>
      <w:pPr>
        <w:ind w:left="3759" w:hanging="284"/>
      </w:pPr>
      <w:rPr>
        <w:rFonts w:hint="default"/>
      </w:rPr>
    </w:lvl>
    <w:lvl w:ilvl="4" w:tplc="45589F52">
      <w:start w:val="1"/>
      <w:numFmt w:val="bullet"/>
      <w:lvlText w:val="•"/>
      <w:lvlJc w:val="left"/>
      <w:pPr>
        <w:ind w:left="4806" w:hanging="284"/>
      </w:pPr>
      <w:rPr>
        <w:rFonts w:hint="default"/>
      </w:rPr>
    </w:lvl>
    <w:lvl w:ilvl="5" w:tplc="9BBC1DAC">
      <w:start w:val="1"/>
      <w:numFmt w:val="bullet"/>
      <w:lvlText w:val="•"/>
      <w:lvlJc w:val="left"/>
      <w:pPr>
        <w:ind w:left="5853" w:hanging="284"/>
      </w:pPr>
      <w:rPr>
        <w:rFonts w:hint="default"/>
      </w:rPr>
    </w:lvl>
    <w:lvl w:ilvl="6" w:tplc="A4EA383E">
      <w:start w:val="1"/>
      <w:numFmt w:val="bullet"/>
      <w:lvlText w:val="•"/>
      <w:lvlJc w:val="left"/>
      <w:pPr>
        <w:ind w:left="6899" w:hanging="284"/>
      </w:pPr>
      <w:rPr>
        <w:rFonts w:hint="default"/>
      </w:rPr>
    </w:lvl>
    <w:lvl w:ilvl="7" w:tplc="EDD6BAA2">
      <w:start w:val="1"/>
      <w:numFmt w:val="bullet"/>
      <w:lvlText w:val="•"/>
      <w:lvlJc w:val="left"/>
      <w:pPr>
        <w:ind w:left="7946" w:hanging="284"/>
      </w:pPr>
      <w:rPr>
        <w:rFonts w:hint="default"/>
      </w:rPr>
    </w:lvl>
    <w:lvl w:ilvl="8" w:tplc="700CFA86">
      <w:start w:val="1"/>
      <w:numFmt w:val="bullet"/>
      <w:lvlText w:val="•"/>
      <w:lvlJc w:val="left"/>
      <w:pPr>
        <w:ind w:left="8993" w:hanging="284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12"/>
  </w:num>
  <w:num w:numId="5">
    <w:abstractNumId w:val="5"/>
  </w:num>
  <w:num w:numId="6">
    <w:abstractNumId w:val="16"/>
  </w:num>
  <w:num w:numId="7">
    <w:abstractNumId w:val="2"/>
  </w:num>
  <w:num w:numId="8">
    <w:abstractNumId w:val="18"/>
  </w:num>
  <w:num w:numId="9">
    <w:abstractNumId w:val="14"/>
  </w:num>
  <w:num w:numId="10">
    <w:abstractNumId w:val="11"/>
  </w:num>
  <w:num w:numId="11">
    <w:abstractNumId w:val="9"/>
  </w:num>
  <w:num w:numId="12">
    <w:abstractNumId w:val="17"/>
  </w:num>
  <w:num w:numId="13">
    <w:abstractNumId w:val="1"/>
  </w:num>
  <w:num w:numId="14">
    <w:abstractNumId w:val="0"/>
  </w:num>
  <w:num w:numId="15">
    <w:abstractNumId w:val="4"/>
  </w:num>
  <w:num w:numId="16">
    <w:abstractNumId w:val="13"/>
  </w:num>
  <w:num w:numId="17">
    <w:abstractNumId w:val="15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4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D3EB0"/>
    <w:rsid w:val="00021927"/>
    <w:rsid w:val="000548DC"/>
    <w:rsid w:val="00062A6D"/>
    <w:rsid w:val="00066EB8"/>
    <w:rsid w:val="00096D33"/>
    <w:rsid w:val="000B3D23"/>
    <w:rsid w:val="0011010F"/>
    <w:rsid w:val="0011714A"/>
    <w:rsid w:val="00197EEC"/>
    <w:rsid w:val="001A45EC"/>
    <w:rsid w:val="001C70EC"/>
    <w:rsid w:val="001D2B35"/>
    <w:rsid w:val="00224DC4"/>
    <w:rsid w:val="00256760"/>
    <w:rsid w:val="0027537D"/>
    <w:rsid w:val="00286A32"/>
    <w:rsid w:val="002D357E"/>
    <w:rsid w:val="002D3EB0"/>
    <w:rsid w:val="003226BF"/>
    <w:rsid w:val="00333DF8"/>
    <w:rsid w:val="0039763B"/>
    <w:rsid w:val="003B687C"/>
    <w:rsid w:val="003C70B9"/>
    <w:rsid w:val="003D3185"/>
    <w:rsid w:val="0040655C"/>
    <w:rsid w:val="00422A7E"/>
    <w:rsid w:val="00426535"/>
    <w:rsid w:val="00462E77"/>
    <w:rsid w:val="0046591F"/>
    <w:rsid w:val="004715E8"/>
    <w:rsid w:val="004F5132"/>
    <w:rsid w:val="00563D76"/>
    <w:rsid w:val="005A72C7"/>
    <w:rsid w:val="005B321C"/>
    <w:rsid w:val="005D7934"/>
    <w:rsid w:val="00615081"/>
    <w:rsid w:val="00640127"/>
    <w:rsid w:val="0064105F"/>
    <w:rsid w:val="00694490"/>
    <w:rsid w:val="006B466D"/>
    <w:rsid w:val="00704812"/>
    <w:rsid w:val="00715CFA"/>
    <w:rsid w:val="007267C9"/>
    <w:rsid w:val="00747672"/>
    <w:rsid w:val="00783EA9"/>
    <w:rsid w:val="0078748C"/>
    <w:rsid w:val="007A5521"/>
    <w:rsid w:val="007B0527"/>
    <w:rsid w:val="007D17CF"/>
    <w:rsid w:val="0082350C"/>
    <w:rsid w:val="0083730B"/>
    <w:rsid w:val="00853664"/>
    <w:rsid w:val="0087762B"/>
    <w:rsid w:val="008A4ACE"/>
    <w:rsid w:val="008F4F06"/>
    <w:rsid w:val="00924630"/>
    <w:rsid w:val="00946618"/>
    <w:rsid w:val="00963B20"/>
    <w:rsid w:val="00976F9C"/>
    <w:rsid w:val="00977682"/>
    <w:rsid w:val="009B677C"/>
    <w:rsid w:val="009C1A4D"/>
    <w:rsid w:val="009C3ADE"/>
    <w:rsid w:val="009C727E"/>
    <w:rsid w:val="009D39BC"/>
    <w:rsid w:val="009E1EF3"/>
    <w:rsid w:val="00A30EF1"/>
    <w:rsid w:val="00A408C1"/>
    <w:rsid w:val="00A5477A"/>
    <w:rsid w:val="00A55EE0"/>
    <w:rsid w:val="00A6715A"/>
    <w:rsid w:val="00A95598"/>
    <w:rsid w:val="00AB2221"/>
    <w:rsid w:val="00AB2A9E"/>
    <w:rsid w:val="00AD767A"/>
    <w:rsid w:val="00AE0BE6"/>
    <w:rsid w:val="00B052D2"/>
    <w:rsid w:val="00B552BA"/>
    <w:rsid w:val="00B67BB3"/>
    <w:rsid w:val="00C01010"/>
    <w:rsid w:val="00C10942"/>
    <w:rsid w:val="00C12FE4"/>
    <w:rsid w:val="00C245B4"/>
    <w:rsid w:val="00C325CC"/>
    <w:rsid w:val="00C4220F"/>
    <w:rsid w:val="00C44E1C"/>
    <w:rsid w:val="00C95120"/>
    <w:rsid w:val="00CF100C"/>
    <w:rsid w:val="00D06EB8"/>
    <w:rsid w:val="00D2424D"/>
    <w:rsid w:val="00D935D4"/>
    <w:rsid w:val="00DA3143"/>
    <w:rsid w:val="00DA64B3"/>
    <w:rsid w:val="00DB034F"/>
    <w:rsid w:val="00DC033A"/>
    <w:rsid w:val="00DE412A"/>
    <w:rsid w:val="00E0482F"/>
    <w:rsid w:val="00E13CEA"/>
    <w:rsid w:val="00E24B45"/>
    <w:rsid w:val="00E363DA"/>
    <w:rsid w:val="00E65808"/>
    <w:rsid w:val="00EE1961"/>
    <w:rsid w:val="00EF0961"/>
    <w:rsid w:val="00EF3CAF"/>
    <w:rsid w:val="00F039C3"/>
    <w:rsid w:val="00F069A8"/>
    <w:rsid w:val="00F161DB"/>
    <w:rsid w:val="00F87901"/>
    <w:rsid w:val="00F933FE"/>
    <w:rsid w:val="00FD1DE1"/>
    <w:rsid w:val="00FD49E6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70"/>
    <o:shapelayout v:ext="edit">
      <o:idmap v:ext="edit" data="1,3,4"/>
    </o:shapelayout>
  </w:shapeDefaults>
  <w:decimalSymbol w:val=","/>
  <w:listSeparator w:val=";"/>
  <w15:docId w15:val="{C57935DC-01FF-4F3D-9B2D-10998FC48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4"/>
      <w:outlineLvl w:val="0"/>
    </w:pPr>
    <w:rPr>
      <w:rFonts w:ascii="Arial" w:eastAsia="Arial" w:hAnsi="Arial"/>
      <w:b/>
      <w:bCs/>
      <w:sz w:val="30"/>
      <w:szCs w:val="30"/>
    </w:rPr>
  </w:style>
  <w:style w:type="paragraph" w:styleId="Heading2">
    <w:name w:val="heading 2"/>
    <w:basedOn w:val="Normal"/>
    <w:uiPriority w:val="1"/>
    <w:qFormat/>
    <w:pPr>
      <w:ind w:left="224"/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224"/>
      <w:outlineLvl w:val="2"/>
    </w:pPr>
    <w:rPr>
      <w:rFonts w:ascii="Arial" w:eastAsia="Arial" w:hAnsi="Arial"/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61"/>
      <w:ind w:left="216"/>
      <w:outlineLvl w:val="3"/>
    </w:pPr>
    <w:rPr>
      <w:rFonts w:ascii="Arial" w:eastAsia="Arial" w:hAnsi="Arial"/>
      <w:b/>
      <w:bCs/>
    </w:rPr>
  </w:style>
  <w:style w:type="paragraph" w:styleId="Heading5">
    <w:name w:val="heading 5"/>
    <w:basedOn w:val="Normal"/>
    <w:uiPriority w:val="1"/>
    <w:qFormat/>
    <w:pPr>
      <w:ind w:left="216"/>
      <w:outlineLvl w:val="4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224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069A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9A8"/>
  </w:style>
  <w:style w:type="paragraph" w:styleId="Footer">
    <w:name w:val="footer"/>
    <w:basedOn w:val="Normal"/>
    <w:link w:val="FooterChar"/>
    <w:uiPriority w:val="99"/>
    <w:unhideWhenUsed/>
    <w:rsid w:val="00F069A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9A8"/>
  </w:style>
  <w:style w:type="character" w:styleId="Hyperlink">
    <w:name w:val="Hyperlink"/>
    <w:basedOn w:val="DefaultParagraphFont"/>
    <w:uiPriority w:val="99"/>
    <w:unhideWhenUsed/>
    <w:rsid w:val="008A4A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2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greece@sanofi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nof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1101</Words>
  <Characters>5948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Revelas, Christina PH/GR</cp:lastModifiedBy>
  <cp:revision>46</cp:revision>
  <dcterms:created xsi:type="dcterms:W3CDTF">2017-02-08T16:37:00Z</dcterms:created>
  <dcterms:modified xsi:type="dcterms:W3CDTF">2017-02-10T16:00:00Z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2016-10-31T00:00:00Z</vt:filetime>
  </property>
  <property fmtid="{D5CDD505-2E9C-101B-9397-08002B2CF9AE}" pid="3" name="LastSaved">
    <vt:filetime>2016-10-31T00:00:00Z</vt:filetime>
  </property>
</Properties>
</file>